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A1A1A"/>
          <w:sz w:val="40"/>
          <w:szCs w:val="40"/>
        </w:rPr>
        <w:t xml:space="preserve">Contrato de honorários</w:t>
      </w:r>
    </w:p>
    <w:p>
      <w:pPr>
        <w:spacing w:after="320"/>
      </w:pPr>
      <w:r>
        <w:rPr>
          <w:rFonts w:ascii="Calibri" w:cs="Calibri" w:eastAsia="Calibri" w:hAnsi="Calibri"/>
          <w:i/>
          <w:iCs/>
          <w:color w:val="6B6B6B"/>
          <w:sz w:val="21"/>
          <w:szCs w:val="21"/>
        </w:rPr>
        <w:t xml:space="preserve">que entre si fazem</w:t>
      </w:r>
    </w:p>
    <w:p>
      <w:pPr>
        <w:spacing w:after="16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Como contratante, </w:t>
      </w:r>
      <w:r>
        <w:rPr>
          <w:rFonts w:ascii="Calibri" w:cs="Calibri" w:eastAsia="Calibri" w:hAnsi="Calibri"/>
          <w:b w:val="false"/>
          <w:bCs w:val="false"/>
          <w:color w:val="1A1A1A"/>
          <w:sz w:val="21"/>
          <w:szCs w:val="21"/>
        </w:rPr>
        <w:t xml:space="preserve">{{NOME COMPLETO}}, {{NACIONALIDADE}}, {{ESTADO CIVIL}}, {{PROFISSÃO}}, portador da carteira de identidade nº {{NÚMERO DO RG}} e inscrito no CPF sob o nº {{NÚMERO DO CPF}}, e-mail {{ENDEREÇO DE E-MAIL}}, residente e domiciliado à {{ENDEREÇO COMPLETO}}, CEP {{NÚMERO DO CEP}}.</w:t>
      </w:r>
    </w:p>
    <w:p>
      <w:pPr>
        <w:spacing w:after="8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Como contratado, </w:t>
      </w:r>
      <w:r>
        <w:rPr>
          <w:rFonts w:ascii="Calibri" w:cs="Calibri" w:eastAsia="Calibri" w:hAnsi="Calibri"/>
          <w:b w:val="false"/>
          <w:bCs w:val="false"/>
          <w:color w:val="1A1A1A"/>
          <w:sz w:val="21"/>
          <w:szCs w:val="21"/>
        </w:rPr>
        <w:t xml:space="preserve">SILVA PINTO SOCIEDADE INDIVIDUAL DE ADVOCACIA, CNPJ 62.170.628/0001-92, e-mail contato@silvapintoadvocacia.com, endereço Avenida Rio Branco, nº 131, 17º andar, Centro, Rio de Janeiro/RJ.</w:t>
      </w:r>
    </w:p>
    <w:p>
      <w:pPr>
        <w:pBdr>
          <w:bottom w:val="single" w:color="C8C8C8" w:sz="6" w:space="4"/>
        </w:pBdr>
        <w:spacing w:after="0" w:before="320"/>
      </w:pPr>
      <w:r>
        <w:rPr>
          <w:rFonts w:ascii="Calibri" w:cs="Calibri" w:eastAsia="Calibri" w:hAnsi="Calibri"/>
          <w:b/>
          <w:bCs/>
          <w:color w:val="6B6B6B"/>
          <w:sz w:val="24"/>
          <w:szCs w:val="24"/>
        </w:rPr>
        <w:t xml:space="preserve">1  |  </w:t>
      </w: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Objeto</w:t>
      </w:r>
    </w:p>
    <w:p>
      <w:pPr>
        <w:spacing w:after="160" w:before="60"/>
      </w:pPr>
      <w:r>
        <w:rPr>
          <w:rFonts w:ascii="Calibri" w:cs="Calibri" w:eastAsia="Calibri" w:hAnsi="Calibri"/>
          <w:i/>
          <w:iCs/>
          <w:color w:val="6B6B6B"/>
          <w:sz w:val="19"/>
          <w:szCs w:val="19"/>
        </w:rPr>
        <w:t xml:space="preserve">O que você está contratando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Propositura de ação judicial, com pedido de tutela de urgência, para impugnar ilegalidade com o objetivo de reverter a eliminação ou majorar a pontuação do contratante em uma fase do concurso público de {{CONCURSO E ÓRGÃO}}, edital {{NÚMERO E ANO DO EDITAL}}.</w:t>
      </w:r>
    </w:p>
    <w:p>
      <w:pPr>
        <w:spacing w:after="120" w:line="300"/>
      </w:pPr>
      <w:r>
        <w:rPr>
          <w:rFonts w:ascii="Calibri" w:cs="Calibri" w:eastAsia="Calibri" w:hAnsi="Calibri"/>
          <w:b w:val="false"/>
          <w:bCs w:val="false"/>
          <w:color w:val="1A1A1A"/>
          <w:sz w:val="21"/>
          <w:szCs w:val="21"/>
        </w:rPr>
        <w:t xml:space="preserve">A fase contratada é: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{{FASE — ex.: prova objetiva}}</w:t>
      </w:r>
      <w:r>
        <w:rPr>
          <w:rFonts w:ascii="Calibri" w:cs="Calibri" w:eastAsia="Calibri" w:hAnsi="Calibri"/>
          <w:b w:val="false"/>
          <w:bCs w:val="false"/>
          <w:color w:val="1A1A1A"/>
          <w:sz w:val="21"/>
          <w:szCs w:val="21"/>
        </w:rPr>
        <w:t xml:space="preserve">.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Entende-se por fase cada etapa eliminatória ou classificatória prevista no edital do certame.</w:t>
      </w:r>
    </w:p>
    <w:p>
      <w:pPr>
        <w:pBdr>
          <w:bottom w:val="single" w:color="C8C8C8" w:sz="6" w:space="4"/>
        </w:pBdr>
        <w:spacing w:after="0" w:before="320"/>
      </w:pPr>
      <w:r>
        <w:rPr>
          <w:rFonts w:ascii="Calibri" w:cs="Calibri" w:eastAsia="Calibri" w:hAnsi="Calibri"/>
          <w:b/>
          <w:bCs/>
          <w:color w:val="6B6B6B"/>
          <w:sz w:val="24"/>
          <w:szCs w:val="24"/>
        </w:rPr>
        <w:t xml:space="preserve">2  |  </w:t>
      </w: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O que está incluído</w:t>
      </w:r>
    </w:p>
    <w:p>
      <w:pPr>
        <w:spacing w:after="160" w:before="60"/>
      </w:pPr>
      <w:r>
        <w:rPr>
          <w:rFonts w:ascii="Calibri" w:cs="Calibri" w:eastAsia="Calibri" w:hAnsi="Calibri"/>
          <w:i/>
          <w:iCs/>
          <w:color w:val="6B6B6B"/>
          <w:sz w:val="19"/>
          <w:szCs w:val="19"/>
        </w:rPr>
        <w:t xml:space="preserve">Até onde vai o nosso trabalho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Dentro da fase contratada, o trabalho compreende:</w:t>
      </w:r>
    </w:p>
    <w:p>
      <w:pPr>
        <w:spacing w:after="120" w:line="300"/>
        <w:ind w:left="36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a) a análise técnica do edital, do gabarito e da prova, e a elaboração da tese;</w:t>
      </w:r>
    </w:p>
    <w:p>
      <w:pPr>
        <w:spacing w:after="120" w:line="300"/>
        <w:ind w:left="36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b) a elaboração e o protocolo da ação, com pedido de tutela de urgência, em até 48 horas úteis contadas do recebimento de todos os documentos necessários;</w:t>
      </w:r>
    </w:p>
    <w:p>
      <w:pPr>
        <w:spacing w:after="120" w:line="300"/>
        <w:ind w:left="36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c) o acompanhamento do processo até o trânsito em julgado, em todas as instâncias, inclusive nos Tribunais Superiores (STJ e STF), com a interposição dos recursos cabíveis.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Se o contratante for eliminado ou prejudicado em outra fase do mesmo concurso, a atuação dependerá de novo contrato e de novos honorários.</w:t>
      </w:r>
    </w:p>
    <w:p>
      <w:pPr>
        <w:pBdr>
          <w:bottom w:val="single" w:color="C8C8C8" w:sz="6" w:space="4"/>
        </w:pBdr>
        <w:spacing w:after="0" w:before="320"/>
      </w:pPr>
      <w:r>
        <w:rPr>
          <w:rFonts w:ascii="Calibri" w:cs="Calibri" w:eastAsia="Calibri" w:hAnsi="Calibri"/>
          <w:b/>
          <w:bCs/>
          <w:color w:val="6B6B6B"/>
          <w:sz w:val="24"/>
          <w:szCs w:val="24"/>
        </w:rPr>
        <w:t xml:space="preserve">3  |  </w:t>
      </w: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O que não está incluído</w:t>
      </w:r>
    </w:p>
    <w:p>
      <w:pPr>
        <w:spacing w:after="160" w:before="60"/>
      </w:pPr>
      <w:r>
        <w:rPr>
          <w:rFonts w:ascii="Calibri" w:cs="Calibri" w:eastAsia="Calibri" w:hAnsi="Calibri"/>
          <w:i/>
          <w:iCs/>
          <w:color w:val="6B6B6B"/>
          <w:sz w:val="19"/>
          <w:szCs w:val="19"/>
        </w:rPr>
        <w:t xml:space="preserve">O que fica de fora</w:t>
      </w:r>
    </w:p>
    <w:p>
      <w:pPr>
        <w:spacing w:after="120" w:line="300"/>
        <w:ind w:left="36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a) as demais fases do concurso;</w:t>
      </w:r>
    </w:p>
    <w:p>
      <w:pPr>
        <w:spacing w:after="120" w:line="300"/>
        <w:ind w:left="36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b) o curso de formação e a ação por preterição na nomeação;</w:t>
      </w:r>
    </w:p>
    <w:p>
      <w:pPr>
        <w:spacing w:after="120" w:line="300"/>
        <w:ind w:left="36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c) qualquer outro concurso público;</w:t>
      </w:r>
    </w:p>
    <w:p>
      <w:pPr>
        <w:spacing w:after="120" w:line="300"/>
        <w:ind w:left="36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d) ações de natureza diversa, como indenização por danos morais ou materiais, que dependem de contratação própria;</w:t>
      </w:r>
    </w:p>
    <w:p>
      <w:pPr>
        <w:spacing w:after="120" w:line="300"/>
        <w:ind w:left="36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e) custas judiciais, taxas, despesas de cartório e honorários periciais, na forma da cláusula 5.</w:t>
      </w:r>
    </w:p>
    <w:p>
      <w:pPr>
        <w:pBdr>
          <w:bottom w:val="single" w:color="C8C8C8" w:sz="6" w:space="4"/>
        </w:pBdr>
        <w:spacing w:after="0" w:before="320"/>
      </w:pPr>
      <w:r>
        <w:rPr>
          <w:rFonts w:ascii="Calibri" w:cs="Calibri" w:eastAsia="Calibri" w:hAnsi="Calibri"/>
          <w:b/>
          <w:bCs/>
          <w:color w:val="6B6B6B"/>
          <w:sz w:val="24"/>
          <w:szCs w:val="24"/>
        </w:rPr>
        <w:t xml:space="preserve">4  |  </w:t>
      </w: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Preço</w:t>
      </w:r>
    </w:p>
    <w:p>
      <w:pPr>
        <w:spacing w:after="160" w:before="60"/>
      </w:pPr>
      <w:r>
        <w:rPr>
          <w:rFonts w:ascii="Calibri" w:cs="Calibri" w:eastAsia="Calibri" w:hAnsi="Calibri"/>
          <w:i/>
          <w:iCs/>
          <w:color w:val="6B6B6B"/>
          <w:sz w:val="19"/>
          <w:szCs w:val="19"/>
        </w:rPr>
        <w:t xml:space="preserve">Quanto você vai pagar</w:t>
      </w:r>
    </w:p>
    <w:p>
      <w:pPr>
        <w:spacing w:after="120" w:line="300"/>
      </w:pPr>
      <w:r>
        <w:rPr>
          <w:rFonts w:ascii="Calibri" w:cs="Calibri" w:eastAsia="Calibri" w:hAnsi="Calibri"/>
          <w:b w:val="false"/>
          <w:bCs w:val="false"/>
          <w:color w:val="1A1A1A"/>
          <w:sz w:val="21"/>
          <w:szCs w:val="21"/>
        </w:rPr>
        <w:t xml:space="preserve">Os honorários advocatícios são ajustados no valor de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R$ {{VALOR À VISTA}}</w:t>
      </w:r>
      <w:r>
        <w:rPr>
          <w:rFonts w:ascii="Calibri" w:cs="Calibri" w:eastAsia="Calibri" w:hAnsi="Calibri"/>
          <w:b w:val="false"/>
          <w:bCs w:val="false"/>
          <w:color w:val="1A1A1A"/>
          <w:sz w:val="21"/>
          <w:szCs w:val="21"/>
        </w:rPr>
        <w:t xml:space="preserve"> à vista mediante {{FORMA DE PAGAMENTO}}, ou {{NÚMERO DE PARCELAS}} parcelas de R$ {{VALOR DA PARCELA}} cada, totalizando R$ {{TOTAL PARCELADO}}, com vencimento da primeira em {{DATA}}.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 diferença entre o preço à vista e o total parcelado corresponde ao custo do parcelamento no cartão de crédito, na forma da Lei nº 13.455/2017.</w:t>
      </w:r>
    </w:p>
    <w:p>
      <w:pPr>
        <w:spacing w:after="120" w:line="300"/>
      </w:pPr>
      <w:r>
        <w:rPr>
          <w:rFonts w:ascii="Calibri" w:cs="Calibri" w:eastAsia="Calibri" w:hAnsi="Calibri"/>
          <w:b w:val="false"/>
          <w:bCs w:val="false"/>
          <w:color w:val="1A1A1A"/>
          <w:sz w:val="21"/>
          <w:szCs w:val="21"/>
        </w:rPr>
        <w:t xml:space="preserve">Não há honorários de êxito: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 valor acima é o total devido ao contratado</w:t>
      </w:r>
      <w:r>
        <w:rPr>
          <w:rFonts w:ascii="Calibri" w:cs="Calibri" w:eastAsia="Calibri" w:hAnsi="Calibri"/>
          <w:b w:val="false"/>
          <w:bCs w:val="false"/>
          <w:color w:val="1A1A1A"/>
          <w:sz w:val="21"/>
          <w:szCs w:val="21"/>
        </w:rPr>
        <w:t xml:space="preserve">.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Eventual condenação em verba de sucumbência em favor do contratante não prejudica os honorários aqui contratados, na forma do art. 23 da Lei nº 8.906/1994.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 atraso superior a 15 dias no pagamento de qualquer parcela implica o vencimento antecipado das parcelas vincendas, sem prejuízo da continuidade da representação, que só cessará mediante renúncia ao mandato com observância do art. 5º, §3º, da Lei nº 8.906/1994.</w:t>
      </w:r>
    </w:p>
    <w:p>
      <w:pPr>
        <w:pBdr>
          <w:bottom w:val="single" w:color="C8C8C8" w:sz="6" w:space="4"/>
        </w:pBdr>
        <w:spacing w:after="0" w:before="320"/>
      </w:pPr>
      <w:r>
        <w:rPr>
          <w:rFonts w:ascii="Calibri" w:cs="Calibri" w:eastAsia="Calibri" w:hAnsi="Calibri"/>
          <w:b/>
          <w:bCs/>
          <w:color w:val="6B6B6B"/>
          <w:sz w:val="24"/>
          <w:szCs w:val="24"/>
        </w:rPr>
        <w:t xml:space="preserve">5  |  </w:t>
      </w: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Custas e despesas do processo</w:t>
      </w:r>
    </w:p>
    <w:p>
      <w:pPr>
        <w:spacing w:after="160" w:before="60"/>
      </w:pPr>
      <w:r>
        <w:rPr>
          <w:rFonts w:ascii="Calibri" w:cs="Calibri" w:eastAsia="Calibri" w:hAnsi="Calibri"/>
          <w:i/>
          <w:iCs/>
          <w:color w:val="6B6B6B"/>
          <w:sz w:val="19"/>
          <w:szCs w:val="19"/>
        </w:rPr>
        <w:t xml:space="preserve">Quem paga o quê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As custas judiciais, taxas, despesas de cartório, honorários periciais e de advogados correspondentes correm por conta do contratante e não estão incluídas nos honorários.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Havendo elementos, o contratado requererá a gratuidade da justiça. Indeferido o pedido, as custas permanecem a cargo do contratante.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Sendo o contratante vencido em ação que comporte condenação em honorários de sucumbência, esses honorários são de sua responsabilidade.</w:t>
      </w:r>
    </w:p>
    <w:p>
      <w:pPr>
        <w:pBdr>
          <w:bottom w:val="single" w:color="C8C8C8" w:sz="6" w:space="4"/>
        </w:pBdr>
        <w:spacing w:after="0" w:before="320"/>
      </w:pPr>
      <w:r>
        <w:rPr>
          <w:rFonts w:ascii="Calibri" w:cs="Calibri" w:eastAsia="Calibri" w:hAnsi="Calibri"/>
          <w:b/>
          <w:bCs/>
          <w:color w:val="6B6B6B"/>
          <w:sz w:val="24"/>
          <w:szCs w:val="24"/>
        </w:rPr>
        <w:t xml:space="preserve">6  |  </w:t>
      </w: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Resultado</w:t>
      </w:r>
    </w:p>
    <w:p>
      <w:pPr>
        <w:spacing w:after="160" w:before="60"/>
      </w:pPr>
      <w:r>
        <w:rPr>
          <w:rFonts w:ascii="Calibri" w:cs="Calibri" w:eastAsia="Calibri" w:hAnsi="Calibri"/>
          <w:i/>
          <w:iCs/>
          <w:color w:val="6B6B6B"/>
          <w:sz w:val="19"/>
          <w:szCs w:val="19"/>
        </w:rPr>
        <w:t xml:space="preserve">O que a gente garante e o que não garante</w:t>
      </w:r>
    </w:p>
    <w:p>
      <w:pPr>
        <w:spacing w:after="120" w:line="300"/>
      </w:pPr>
      <w:r>
        <w:rPr>
          <w:rFonts w:ascii="Calibri" w:cs="Calibri" w:eastAsia="Calibri" w:hAnsi="Calibri"/>
          <w:b w:val="false"/>
          <w:bCs w:val="false"/>
          <w:color w:val="1A1A1A"/>
          <w:sz w:val="21"/>
          <w:szCs w:val="21"/>
        </w:rPr>
        <w:t xml:space="preserve">O contratado obriga-se a empregar sua melhor técnica e diligência na defesa dos interesses do contratante.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 obrigação assumida é de meio, e não de resultado.</w:t>
      </w:r>
    </w:p>
    <w:p>
      <w:pPr>
        <w:spacing w:after="120" w:line="300"/>
      </w:pPr>
      <w:r>
        <w:rPr>
          <w:rFonts w:ascii="Calibri" w:cs="Calibri" w:eastAsia="Calibri" w:hAnsi="Calibri"/>
          <w:b w:val="false"/>
          <w:bCs w:val="false"/>
          <w:color w:val="1A1A1A"/>
          <w:sz w:val="21"/>
          <w:szCs w:val="21"/>
        </w:rPr>
        <w:t xml:space="preserve">O contratado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não garante</w:t>
      </w:r>
      <w:r>
        <w:rPr>
          <w:rFonts w:ascii="Calibri" w:cs="Calibri" w:eastAsia="Calibri" w:hAnsi="Calibri"/>
          <w:b w:val="false"/>
          <w:bCs w:val="false"/>
          <w:color w:val="1A1A1A"/>
          <w:sz w:val="21"/>
          <w:szCs w:val="21"/>
        </w:rPr>
        <w:t xml:space="preserve">, e não pode garantir, a procedência da ação, a concessão da liminar, a anulação de questões, a aprovação, a nomeação ou a posse do contratante. O resultado depende de decisão do Poder Judiciário, sobre a qual o contratado não tem controle.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 contratante declara ter recebido essa informação de forma clara antes da assinatura.</w:t>
      </w:r>
    </w:p>
    <w:p>
      <w:pPr>
        <w:pBdr>
          <w:bottom w:val="single" w:color="C8C8C8" w:sz="6" w:space="4"/>
        </w:pBdr>
        <w:spacing w:after="0" w:before="320"/>
      </w:pPr>
      <w:r>
        <w:rPr>
          <w:rFonts w:ascii="Calibri" w:cs="Calibri" w:eastAsia="Calibri" w:hAnsi="Calibri"/>
          <w:b/>
          <w:bCs/>
          <w:color w:val="6B6B6B"/>
          <w:sz w:val="24"/>
          <w:szCs w:val="24"/>
        </w:rPr>
        <w:t xml:space="preserve">7  |  </w:t>
      </w: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Obrigações do contratado</w:t>
      </w:r>
    </w:p>
    <w:p>
      <w:pPr>
        <w:spacing w:after="160" w:before="60"/>
      </w:pPr>
      <w:r>
        <w:rPr>
          <w:rFonts w:ascii="Calibri" w:cs="Calibri" w:eastAsia="Calibri" w:hAnsi="Calibri"/>
          <w:i/>
          <w:iCs/>
          <w:color w:val="6B6B6B"/>
          <w:sz w:val="19"/>
          <w:szCs w:val="19"/>
        </w:rPr>
        <w:t xml:space="preserve">Quais são os meus deveres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Prestação dos serviços necessários à consecução do objeto, incluindo a formulação das peças processuais e o comparecimento a audiências e demais atos judiciais, em todas as instâncias, bem como a informação ao contratante das movimentações relevantes do processo.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 contratado poderá substabelecer, com ou sem reservas, a advogados correspondentes, quando o ato exigir atuação em outra comarca.</w:t>
      </w:r>
    </w:p>
    <w:p>
      <w:pPr>
        <w:pBdr>
          <w:bottom w:val="single" w:color="C8C8C8" w:sz="6" w:space="4"/>
        </w:pBdr>
        <w:spacing w:after="0" w:before="320"/>
      </w:pPr>
      <w:r>
        <w:rPr>
          <w:rFonts w:ascii="Calibri" w:cs="Calibri" w:eastAsia="Calibri" w:hAnsi="Calibri"/>
          <w:b/>
          <w:bCs/>
          <w:color w:val="6B6B6B"/>
          <w:sz w:val="24"/>
          <w:szCs w:val="24"/>
        </w:rPr>
        <w:t xml:space="preserve">8  |  </w:t>
      </w: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Obrigações do contratante</w:t>
      </w:r>
    </w:p>
    <w:p>
      <w:pPr>
        <w:spacing w:after="160" w:before="60"/>
      </w:pPr>
      <w:r>
        <w:rPr>
          <w:rFonts w:ascii="Calibri" w:cs="Calibri" w:eastAsia="Calibri" w:hAnsi="Calibri"/>
          <w:i/>
          <w:iCs/>
          <w:color w:val="6B6B6B"/>
          <w:sz w:val="19"/>
          <w:szCs w:val="19"/>
        </w:rPr>
        <w:t xml:space="preserve">Quais são os seus deveres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Fornecer os documentos indispensáveis à instrução do processo e as demais informações necessárias ao andamento processual, além de:</w:t>
      </w:r>
    </w:p>
    <w:p>
      <w:pPr>
        <w:spacing w:after="120" w:line="300"/>
        <w:ind w:left="36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a) manter os dados pessoais atualizados, informando imediatamente qualquer alteração de endereço, telefone ou e-mail;</w:t>
      </w:r>
    </w:p>
    <w:p>
      <w:pPr>
        <w:spacing w:after="120" w:line="300"/>
        <w:ind w:left="36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b) indicar, quando requisitado, testemunhas para a audiência de instrução;</w:t>
      </w:r>
    </w:p>
    <w:p>
      <w:pPr>
        <w:spacing w:after="120" w:line="300"/>
        <w:ind w:left="36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c) comparecer a todas as audiências ou atos processuais que exijam sua presença;</w:t>
      </w:r>
    </w:p>
    <w:p>
      <w:pPr>
        <w:spacing w:after="120" w:line="300"/>
        <w:ind w:left="36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d) informar ao contratado, de imediato, qualquer comunicação recebida da banca ou do órgão realizador do concurso.</w:t>
      </w:r>
    </w:p>
    <w:p>
      <w:pPr>
        <w:pBdr>
          <w:bottom w:val="single" w:color="C8C8C8" w:sz="6" w:space="4"/>
        </w:pBdr>
        <w:spacing w:after="0" w:before="320"/>
      </w:pPr>
      <w:r>
        <w:rPr>
          <w:rFonts w:ascii="Calibri" w:cs="Calibri" w:eastAsia="Calibri" w:hAnsi="Calibri"/>
          <w:b/>
          <w:bCs/>
          <w:color w:val="6B6B6B"/>
          <w:sz w:val="24"/>
          <w:szCs w:val="24"/>
        </w:rPr>
        <w:t xml:space="preserve">9  |  </w:t>
      </w: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Prazo</w:t>
      </w:r>
    </w:p>
    <w:p>
      <w:pPr>
        <w:spacing w:after="160" w:before="60"/>
      </w:pPr>
      <w:r>
        <w:rPr>
          <w:rFonts w:ascii="Calibri" w:cs="Calibri" w:eastAsia="Calibri" w:hAnsi="Calibri"/>
          <w:i/>
          <w:iCs/>
          <w:color w:val="6B6B6B"/>
          <w:sz w:val="19"/>
          <w:szCs w:val="19"/>
        </w:rPr>
        <w:t xml:space="preserve">Da duração do contrato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É indeterminado o prazo de duração deste contrato, que tem início a partir da sua assinatura pelas partes e fica subordinado à conclusão dos serviços contratados, após sentença judicial transitada em julgado.</w:t>
      </w:r>
    </w:p>
    <w:p>
      <w:pPr>
        <w:pBdr>
          <w:bottom w:val="single" w:color="C8C8C8" w:sz="6" w:space="4"/>
        </w:pBdr>
        <w:spacing w:after="0" w:before="320"/>
      </w:pPr>
      <w:r>
        <w:rPr>
          <w:rFonts w:ascii="Calibri" w:cs="Calibri" w:eastAsia="Calibri" w:hAnsi="Calibri"/>
          <w:b/>
          <w:bCs/>
          <w:color w:val="6B6B6B"/>
          <w:sz w:val="24"/>
          <w:szCs w:val="24"/>
        </w:rPr>
        <w:t xml:space="preserve">10  |  </w:t>
      </w: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Se você quiser cancelar</w:t>
      </w:r>
    </w:p>
    <w:p>
      <w:pPr>
        <w:spacing w:after="160" w:before="60"/>
      </w:pPr>
      <w:r>
        <w:rPr>
          <w:rFonts w:ascii="Calibri" w:cs="Calibri" w:eastAsia="Calibri" w:hAnsi="Calibri"/>
          <w:i/>
          <w:iCs/>
          <w:color w:val="6B6B6B"/>
          <w:sz w:val="19"/>
          <w:szCs w:val="19"/>
        </w:rPr>
        <w:t xml:space="preserve">O que acontece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Em caso de rescisão unilateral e injustificada por parte do contratante:</w:t>
      </w:r>
    </w:p>
    <w:p>
      <w:pPr>
        <w:spacing w:after="120" w:line="300"/>
        <w:ind w:left="360"/>
      </w:pPr>
      <w:r>
        <w:rPr>
          <w:rFonts w:ascii="Calibri" w:cs="Calibri" w:eastAsia="Calibri" w:hAnsi="Calibri"/>
          <w:b w:val="false"/>
          <w:bCs w:val="false"/>
          <w:color w:val="1A1A1A"/>
          <w:sz w:val="21"/>
          <w:szCs w:val="21"/>
        </w:rPr>
        <w:t xml:space="preserve">a)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antes do protocolo da ação</w:t>
      </w:r>
      <w:r>
        <w:rPr>
          <w:rFonts w:ascii="Calibri" w:cs="Calibri" w:eastAsia="Calibri" w:hAnsi="Calibri"/>
          <w:b w:val="false"/>
          <w:bCs w:val="false"/>
          <w:color w:val="1A1A1A"/>
          <w:sz w:val="21"/>
          <w:szCs w:val="21"/>
        </w:rPr>
        <w:t xml:space="preserve">: ficam retidos 30% dos honorários contratados, a título de remuneração do trabalho técnico já executado, e o saldo eventualmente pago é devolvido;</w:t>
      </w:r>
    </w:p>
    <w:p>
      <w:pPr>
        <w:spacing w:after="120" w:line="300"/>
        <w:ind w:left="360"/>
      </w:pPr>
      <w:r>
        <w:rPr>
          <w:rFonts w:ascii="Calibri" w:cs="Calibri" w:eastAsia="Calibri" w:hAnsi="Calibri"/>
          <w:b w:val="false"/>
          <w:bCs w:val="false"/>
          <w:color w:val="1A1A1A"/>
          <w:sz w:val="21"/>
          <w:szCs w:val="21"/>
        </w:rPr>
        <w:t xml:space="preserve">b)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após o protocolo da ação</w:t>
      </w:r>
      <w:r>
        <w:rPr>
          <w:rFonts w:ascii="Calibri" w:cs="Calibri" w:eastAsia="Calibri" w:hAnsi="Calibri"/>
          <w:b w:val="false"/>
          <w:bCs w:val="false"/>
          <w:color w:val="1A1A1A"/>
          <w:sz w:val="21"/>
          <w:szCs w:val="21"/>
        </w:rPr>
        <w:t xml:space="preserve">: ficam retidos integralmente os honorários já pagos e permanecem devidas as parcelas vincendas, uma vez executado o trabalho principal objeto deste contrato.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 desistência da ação por vontade do contratante equipara-se à rescisão prevista na alínea “b”.</w:t>
      </w:r>
    </w:p>
    <w:p>
      <w:pPr>
        <w:pBdr>
          <w:bottom w:val="single" w:color="C8C8C8" w:sz="6" w:space="4"/>
        </w:pBdr>
        <w:spacing w:after="0" w:before="320"/>
      </w:pPr>
      <w:r>
        <w:rPr>
          <w:rFonts w:ascii="Calibri" w:cs="Calibri" w:eastAsia="Calibri" w:hAnsi="Calibri"/>
          <w:b/>
          <w:bCs/>
          <w:color w:val="6B6B6B"/>
          <w:sz w:val="24"/>
          <w:szCs w:val="24"/>
        </w:rPr>
        <w:t xml:space="preserve">11  |  </w:t>
      </w: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Dados pessoais</w:t>
      </w:r>
    </w:p>
    <w:p>
      <w:pPr>
        <w:spacing w:after="160" w:before="60"/>
      </w:pPr>
      <w:r>
        <w:rPr>
          <w:rFonts w:ascii="Calibri" w:cs="Calibri" w:eastAsia="Calibri" w:hAnsi="Calibri"/>
          <w:i/>
          <w:iCs/>
          <w:color w:val="6B6B6B"/>
          <w:sz w:val="19"/>
          <w:szCs w:val="19"/>
        </w:rPr>
        <w:t xml:space="preserve">Como a gente cuida das suas informações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 contratado tratará os dados pessoais do contratante exclusivamente para a execução deste contrato e para o cumprimento de obrigações legais, na forma da Lei nº 13.709/2018, adotando medidas de segurança adequadas e conservando-os pelo prazo exigido pela legislação.</w:t>
      </w:r>
    </w:p>
    <w:p>
      <w:pPr>
        <w:pBdr>
          <w:bottom w:val="single" w:color="C8C8C8" w:sz="6" w:space="4"/>
        </w:pBdr>
        <w:spacing w:after="0" w:before="320"/>
      </w:pPr>
      <w:r>
        <w:rPr>
          <w:rFonts w:ascii="Calibri" w:cs="Calibri" w:eastAsia="Calibri" w:hAnsi="Calibri"/>
          <w:b/>
          <w:bCs/>
          <w:color w:val="6B6B6B"/>
          <w:sz w:val="24"/>
          <w:szCs w:val="24"/>
        </w:rPr>
        <w:t xml:space="preserve">12  |  </w:t>
      </w: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Assinatura eletrônica</w:t>
      </w:r>
    </w:p>
    <w:p>
      <w:pPr>
        <w:spacing w:after="160" w:before="60"/>
      </w:pPr>
      <w:r>
        <w:rPr>
          <w:rFonts w:ascii="Calibri" w:cs="Calibri" w:eastAsia="Calibri" w:hAnsi="Calibri"/>
          <w:i/>
          <w:iCs/>
          <w:color w:val="6B6B6B"/>
          <w:sz w:val="19"/>
          <w:szCs w:val="19"/>
        </w:rPr>
        <w:t xml:space="preserve">Como este contrato é assinado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As partes reconhecem a validade da assinatura eletrônica deste contrato, na forma da Medida Provisória nº 2.200-2/2001 e da Lei nº 14.063/2020, dispensada a assinatura física.</w:t>
      </w:r>
    </w:p>
    <w:p>
      <w:pPr>
        <w:pBdr>
          <w:bottom w:val="single" w:color="C8C8C8" w:sz="6" w:space="4"/>
        </w:pBdr>
        <w:spacing w:after="0" w:before="320"/>
      </w:pPr>
      <w:r>
        <w:rPr>
          <w:rFonts w:ascii="Calibri" w:cs="Calibri" w:eastAsia="Calibri" w:hAnsi="Calibri"/>
          <w:b/>
          <w:bCs/>
          <w:color w:val="6B6B6B"/>
          <w:sz w:val="24"/>
          <w:szCs w:val="24"/>
        </w:rPr>
        <w:t xml:space="preserve">13  |  </w:t>
      </w: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Foro</w:t>
      </w:r>
    </w:p>
    <w:p>
      <w:pPr>
        <w:spacing w:after="160" w:before="60"/>
      </w:pPr>
      <w:r>
        <w:rPr>
          <w:rFonts w:ascii="Calibri" w:cs="Calibri" w:eastAsia="Calibri" w:hAnsi="Calibri"/>
          <w:i/>
          <w:iCs/>
          <w:color w:val="6B6B6B"/>
          <w:sz w:val="19"/>
          <w:szCs w:val="19"/>
        </w:rPr>
        <w:t xml:space="preserve">Em caso de divergência, onde será o juízo competente para decidir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Elegem as partes o foro do Rio de Janeiro/RJ para dirimir quaisquer dúvidas e pendências decorrentes deste contrato, inclusive eventual execução, ressalvada ao contratante a faculdade de ajuizar a demanda no foro de seu domicílio.</w:t>
      </w:r>
    </w:p>
    <w:p>
      <w:pPr>
        <w:spacing w:after="200" w:before="4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Rio de Janeiro/RJ, {{DATA}}.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8C8C8" w:sz="6"/>
              <w:left w:val="none"/>
              <w:bottom w:val="none"/>
              <w:right w:val="none"/>
            </w:tcBorders>
            <w:tcMar>
              <w:top w:type="dxa" w:w="340"/>
              <w:left w:type="dxa" w:w="0"/>
              <w:bottom w:type="dxa" w:w="120"/>
              <w:right w:type="dxa" w:w="22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Contratante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B6B6B"/>
                <w:sz w:val="18"/>
                <w:szCs w:val="18"/>
              </w:rPr>
              <w:t xml:space="preserve">{{NOME COMPLETO}} — CPF {{NÚMERO DO CPF}}</w:t>
            </w:r>
          </w:p>
        </w:tc>
        <w:tc>
          <w:tcPr>
            <w:tcW w:type="dxa" w:w="4680"/>
            <w:tcBorders>
              <w:top w:val="single" w:color="C8C8C8" w:sz="6"/>
              <w:left w:val="none"/>
              <w:bottom w:val="none"/>
              <w:right w:val="none"/>
            </w:tcBorders>
            <w:tcMar>
              <w:top w:type="dxa" w:w="340"/>
              <w:left w:type="dxa" w:w="0"/>
              <w:bottom w:type="dxa" w:w="120"/>
              <w:right w:type="dxa" w:w="22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Contratado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B6B6B"/>
                <w:sz w:val="18"/>
                <w:szCs w:val="18"/>
              </w:rPr>
              <w:t xml:space="preserve">Silva Pinto Sociedade Individual de Advocacia — CNPJ 62.170.628/0001-92</w:t>
            </w:r>
          </w:p>
        </w:tc>
      </w:tr>
      <w:tr>
        <w:tc>
          <w:tcPr>
            <w:tcW w:type="dxa" w:w="4680"/>
            <w:tcBorders>
              <w:top w:val="single" w:color="C8C8C8" w:sz="6"/>
              <w:left w:val="none"/>
              <w:bottom w:val="none"/>
              <w:right w:val="none"/>
            </w:tcBorders>
            <w:tcMar>
              <w:top w:type="dxa" w:w="340"/>
              <w:left w:type="dxa" w:w="0"/>
              <w:bottom w:type="dxa" w:w="120"/>
              <w:right w:type="dxa" w:w="22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Testemunha 1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B6B6B"/>
                <w:sz w:val="18"/>
                <w:szCs w:val="18"/>
              </w:rPr>
              <w:t xml:space="preserve">{{NOME}} — CPF {{CPF}}</w:t>
            </w:r>
          </w:p>
        </w:tc>
        <w:tc>
          <w:tcPr>
            <w:tcW w:type="dxa" w:w="4680"/>
            <w:tcBorders>
              <w:top w:val="single" w:color="C8C8C8" w:sz="6"/>
              <w:left w:val="none"/>
              <w:bottom w:val="none"/>
              <w:right w:val="none"/>
            </w:tcBorders>
            <w:tcMar>
              <w:top w:type="dxa" w:w="340"/>
              <w:left w:type="dxa" w:w="0"/>
              <w:bottom w:type="dxa" w:w="120"/>
              <w:right w:type="dxa" w:w="22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Testemunha 2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B6B6B"/>
                <w:sz w:val="18"/>
                <w:szCs w:val="18"/>
              </w:rPr>
              <w:t xml:space="preserve">{{NOME}} — CPF {{CPF}}</w:t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2026-08-12T12:01:06.647Z</dcterms:created>
  <dcterms:modified xsi:type="dcterms:W3CDTF">2026-08-12T12:01:06.647Z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