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54736"/>
          <w:sz w:val="20"/>
        </w:rPr>
        <w:t>ENTRECAMPOS — SERVIÇOS E TECNOLOGIA, LDA.</w:t>
        <w:br/>
        <w:t>BASE DE DADOS AGRO MOÇAMBIQUE</w:t>
        <w:br/>
      </w:r>
    </w:p>
    <w:p>
      <w:pPr>
        <w:jc w:val="center"/>
      </w:pPr>
      <w:r>
        <w:rPr>
          <w:rFonts w:ascii="Times New Roman" w:hAnsi="Times New Roman"/>
          <w:b/>
          <w:color w:val="111827"/>
          <w:sz w:val="30"/>
        </w:rPr>
        <w:t>NOTA INFORMATIVA DE REUNIÃO</w:t>
      </w:r>
    </w:p>
    <w:p>
      <w:pPr>
        <w:jc w:val="center"/>
      </w:pPr>
      <w:r>
        <w:rPr>
          <w:rFonts w:ascii="Times New Roman" w:hAnsi="Times New Roman"/>
          <w:b/>
          <w:color w:val="D96B27"/>
          <w:sz w:val="22"/>
        </w:rPr>
        <w:t>PROPOSTA DE PARCERIA E MAPEAMENTO DIGITAL UNIFICADO DO AGRONEGÓCIO MOÇAMBICANO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4701"/>
          </w:tcPr>
          <w:p>
            <w:pPr>
              <w:spacing w:after="20"/>
            </w:pPr>
            <w:r>
              <w:rPr>
                <w:b/>
                <w:sz w:val="20"/>
              </w:rPr>
              <w:t>PARA:</w:t>
            </w:r>
          </w:p>
        </w:tc>
        <w:tc>
          <w:tcPr>
            <w:tcW w:type="dxa" w:w="4701"/>
          </w:tcPr>
          <w:p>
            <w:pPr>
              <w:spacing w:after="20"/>
            </w:pPr>
            <w:r>
              <w:rPr>
                <w:sz w:val="20"/>
              </w:rPr>
              <w:t>Direcção Geral do MADER &amp; Fundo de Desenvolvimento Agrário (FAR, IP)</w:t>
            </w:r>
          </w:p>
        </w:tc>
      </w:tr>
      <w:tr>
        <w:tc>
          <w:tcPr>
            <w:tcW w:type="dxa" w:w="4701"/>
          </w:tcPr>
          <w:p>
            <w:pPr>
              <w:spacing w:after="20"/>
            </w:pPr>
            <w:r>
              <w:rPr>
                <w:b/>
                <w:sz w:val="20"/>
              </w:rPr>
              <w:t>DE:</w:t>
            </w:r>
          </w:p>
        </w:tc>
        <w:tc>
          <w:tcPr>
            <w:tcW w:type="dxa" w:w="4701"/>
          </w:tcPr>
          <w:p>
            <w:pPr>
              <w:spacing w:after="20"/>
            </w:pPr>
            <w:r>
              <w:rPr>
                <w:sz w:val="20"/>
              </w:rPr>
              <w:t>Silva Chamo — Director Geral da EntreCAMPOS / Base de Dados Agro</w:t>
            </w:r>
          </w:p>
        </w:tc>
      </w:tr>
      <w:tr>
        <w:tc>
          <w:tcPr>
            <w:tcW w:type="dxa" w:w="4701"/>
          </w:tcPr>
          <w:p>
            <w:pPr>
              <w:spacing w:after="20"/>
            </w:pPr>
            <w:r>
              <w:rPr>
                <w:b/>
                <w:sz w:val="20"/>
              </w:rPr>
              <w:t>ASSUNTO:</w:t>
            </w:r>
          </w:p>
        </w:tc>
        <w:tc>
          <w:tcPr>
            <w:tcW w:type="dxa" w:w="4701"/>
          </w:tcPr>
          <w:p>
            <w:pPr>
              <w:spacing w:after="20"/>
            </w:pPr>
            <w:r>
              <w:rPr>
                <w:sz w:val="20"/>
              </w:rPr>
              <w:t>Parceria Institucional para Validação do Mapeamento Digital do Sector Agrário</w:t>
            </w:r>
          </w:p>
        </w:tc>
      </w:tr>
      <w:tr>
        <w:tc>
          <w:tcPr>
            <w:tcW w:type="dxa" w:w="4701"/>
          </w:tcPr>
          <w:p>
            <w:pPr>
              <w:spacing w:after="20"/>
            </w:pPr>
            <w:r>
              <w:rPr>
                <w:b/>
                <w:sz w:val="20"/>
              </w:rPr>
              <w:t>DATA:</w:t>
            </w:r>
          </w:p>
        </w:tc>
        <w:tc>
          <w:tcPr>
            <w:tcW w:type="dxa" w:w="4701"/>
          </w:tcPr>
          <w:p>
            <w:pPr>
              <w:spacing w:after="20"/>
            </w:pPr>
            <w:r>
              <w:rPr>
                <w:sz w:val="20"/>
              </w:rPr>
              <w:t>Setembro de 2026 | Maputo, Moçambique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Times New Roman" w:hAnsi="Times New Roman"/>
          <w:b/>
          <w:color w:val="054736"/>
          <w:sz w:val="24"/>
        </w:rPr>
        <w:t>1. CONTEXTUALIZAÇÃO E ENQUADRAMENTO INSTITUCIONAL</w:t>
      </w:r>
    </w:p>
    <w:p>
      <w:pPr>
        <w:spacing w:line="276" w:lineRule="auto" w:after="40"/>
        <w:jc w:val="both"/>
      </w:pPr>
      <w:r>
        <w:rPr>
          <w:rFonts w:ascii="Times New Roman" w:hAnsi="Times New Roman"/>
          <w:color w:val="111827"/>
          <w:sz w:val="21"/>
        </w:rPr>
        <w:t>A plataforma Base de Dados Agro surge para responder a uma lacuna estrutural no agronegócio moçambicano: a dispersão de dados e a ausência de um registo digital unificado, centralizado e pesquisável dos intervenientes da cadeia de valor. O projecto alinha-se directamente com as directrizes do PEDSA II, do PNISA II e com os apelos governamentais para a modernização e digitalização do campo, com especial destaque para as prioridades apontadas recentemente pelo Presidente da República na abertura da 61.ª edição da FACIM 2026, onde se enfatizou a urgência de incorporar soluções tecnológicas computacionais no fomento produtivo.</w:t>
      </w:r>
    </w:p>
    <w:p>
      <w:pPr>
        <w:spacing w:before="160" w:after="60"/>
      </w:pPr>
      <w:r>
        <w:rPr>
          <w:rFonts w:ascii="Times New Roman" w:hAnsi="Times New Roman"/>
          <w:b/>
          <w:color w:val="054736"/>
          <w:sz w:val="24"/>
        </w:rPr>
        <w:t>2. DIMENSÃO ACTUAL E INDICADORES CHAVE DO SECTOR</w:t>
      </w:r>
    </w:p>
    <w:p>
      <w:pPr>
        <w:spacing w:line="276" w:lineRule="auto" w:after="40"/>
        <w:jc w:val="both"/>
      </w:pPr>
      <w:r>
        <w:rPr>
          <w:rFonts w:ascii="Times New Roman" w:hAnsi="Times New Roman"/>
          <w:color w:val="111827"/>
          <w:sz w:val="21"/>
        </w:rPr>
        <w:t>Para demonstrar a robustez e a utilidade prática do ecossistema, os dados consolidados do sector contemplam a produção nacional superior a 20 milhões de toneladas de produtos agrícolas (com um crescimento anual de 5%), um PIB agrícola avaliado em 91.4 mil milhões de Meticais no 2.º trimestre de 2025 (representando cerca de 24% do PIB total de Moçambique) e a absorção de 70% da força laboral activa do país. O nosso directório já integra mais de 950 empresas activas existentes no mercado nacional (abrangendo fornecedores de insumos agrícolas, tecnologia agrária, consultoria, processamento e serviços especializados em todas as 11 províncias).</w:t>
      </w:r>
    </w:p>
    <w:p>
      <w:pPr>
        <w:spacing w:before="160" w:after="60"/>
      </w:pPr>
      <w:r>
        <w:rPr>
          <w:rFonts w:ascii="Times New Roman" w:hAnsi="Times New Roman"/>
          <w:b/>
          <w:color w:val="054736"/>
          <w:sz w:val="24"/>
        </w:rPr>
        <w:t>3. ESTRUTURA DO MAPEAMENTO INICIAL (950 EMPRESAS CATALOGADAS)</w:t>
      </w:r>
    </w:p>
    <w:p>
      <w:pPr>
        <w:spacing w:line="276" w:lineRule="auto" w:after="40"/>
        <w:jc w:val="both"/>
      </w:pPr>
      <w:r>
        <w:rPr>
          <w:rFonts w:ascii="Times New Roman" w:hAnsi="Times New Roman"/>
          <w:color w:val="111827"/>
          <w:sz w:val="21"/>
        </w:rPr>
        <w:t>O levantamento realizado pela equipa de pesquisa da EntreCAMPOS baseou-se no cruzamento rigoroso de registos públicos do Baú Único, IPEME, CTA e listas das Direcções Provinciais da Agricultura. O universo de 950 empresas decompõe-se da seguinte forma: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Produtores Comerciais e Quintas de Média/Grande Dimensão: </w:t>
      </w:r>
      <w:r>
        <w:rPr>
          <w:rFonts w:ascii="Times New Roman" w:hAnsi="Times New Roman"/>
          <w:color w:val="111827"/>
          <w:sz w:val="21"/>
        </w:rPr>
        <w:t>420 entidades privadas que produzem para o mercado formal e exportação.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Fornecedores de Insumos e Equipamentos (Agrodealers): </w:t>
      </w:r>
      <w:r>
        <w:rPr>
          <w:rFonts w:ascii="Times New Roman" w:hAnsi="Times New Roman"/>
          <w:color w:val="111827"/>
          <w:sz w:val="21"/>
        </w:rPr>
        <w:t>210 empresas/lojas licenciadas (sementes, fertilizantes, rega e maquinaria).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Agro-processadores e Agro-indústria: </w:t>
      </w:r>
      <w:r>
        <w:rPr>
          <w:rFonts w:ascii="Times New Roman" w:hAnsi="Times New Roman"/>
          <w:color w:val="111827"/>
          <w:sz w:val="21"/>
        </w:rPr>
        <w:t>180 unidades industriais (moageiras, caju, algodão, açúcar, fruta e avicultura).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Prestadores de Serviços, Mecanização e Veterinárias: </w:t>
      </w:r>
      <w:r>
        <w:rPr>
          <w:rFonts w:ascii="Times New Roman" w:hAnsi="Times New Roman"/>
          <w:color w:val="111827"/>
          <w:sz w:val="21"/>
        </w:rPr>
        <w:t>140 empresas de transporte agrícola, consultoria e apoio técnico.</w:t>
      </w:r>
    </w:p>
    <w:p>
      <w:pPr>
        <w:spacing w:before="160" w:after="60"/>
      </w:pPr>
      <w:r>
        <w:rPr>
          <w:rFonts w:ascii="Times New Roman" w:hAnsi="Times New Roman"/>
          <w:b/>
          <w:color w:val="054736"/>
          <w:sz w:val="24"/>
        </w:rPr>
        <w:t>4. O PAPEL PRETENDIDO DO MADER: PROVEDORIA E CHANCELA INSTITUCIONAL</w:t>
      </w:r>
    </w:p>
    <w:p>
      <w:pPr>
        <w:spacing w:line="276" w:lineRule="auto" w:before="80" w:after="120"/>
        <w:ind w:left="288" w:right="288"/>
        <w:jc w:val="both"/>
      </w:pPr>
      <w:r>
        <w:rPr>
          <w:rFonts w:ascii="Times New Roman" w:hAnsi="Times New Roman"/>
          <w:b/>
          <w:i/>
          <w:color w:val="054736"/>
          <w:sz w:val="21"/>
        </w:rPr>
        <w:t>“Mais do que uma simples ponte digital entre o Estado e o público alvo da cadeia de valor agrária, pretendemos que o MADER assuma a posição de Provedor Institucional da Plataforma Base de Dados Agro, chancelando-a e autenticando-a como o repositório digital oficial, certificado e de elevada confiança no país. Sob este enquadramento, cabe ao MADER impulsionar a abertura de novos canais de financiamento e programas de fomento em articulação com os seus parceiros de cooperação internacional, bem como promover e difundir activamente a utilização da plataforma junto dos seus aliados estratégicos e de todas as suas delegações provinciais e distritais a nível nacional.”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ceria_mader_maos_ag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Conexão Estado-Público Alvo: </w:t>
      </w:r>
      <w:r>
        <w:rPr>
          <w:rFonts w:ascii="Times New Roman" w:hAnsi="Times New Roman"/>
          <w:color w:val="111827"/>
          <w:sz w:val="21"/>
        </w:rPr>
        <w:t>Ligar directamente o Ministério e o FAR, IP aos produtores rurais, fornecedores licenciados e intervenientes do mercado.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Provedor e Entidade Certificadora: </w:t>
      </w:r>
      <w:r>
        <w:rPr>
          <w:rFonts w:ascii="Times New Roman" w:hAnsi="Times New Roman"/>
          <w:color w:val="111827"/>
          <w:sz w:val="21"/>
        </w:rPr>
        <w:t>Atribuição do selo oficial de conformidade e validação dos dados como fonte pública única de informação agrícola.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Mobilização de Financiamento: </w:t>
      </w:r>
      <w:r>
        <w:rPr>
          <w:rFonts w:ascii="Times New Roman" w:hAnsi="Times New Roman"/>
          <w:color w:val="111827"/>
          <w:sz w:val="21"/>
        </w:rPr>
        <w:t>Abertura de canais de financiamento e integração de doadores/parceiros de cooperação (FIDA, Banco Mundial, BAD, UE).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• Difusão nas Delegações Nacionais: </w:t>
      </w:r>
      <w:r>
        <w:rPr>
          <w:rFonts w:ascii="Times New Roman" w:hAnsi="Times New Roman"/>
          <w:color w:val="111827"/>
          <w:sz w:val="21"/>
        </w:rPr>
        <w:t>Disseminação institucional através de todas as Direcções Provinciais (DPAP) e Serviços Distritais (SDAE).</w:t>
      </w:r>
    </w:p>
    <w:p>
      <w:pPr>
        <w:spacing w:before="160" w:after="60"/>
      </w:pPr>
      <w:r>
        <w:rPr>
          <w:rFonts w:ascii="Times New Roman" w:hAnsi="Times New Roman"/>
          <w:b/>
          <w:color w:val="054736"/>
          <w:sz w:val="24"/>
        </w:rPr>
        <w:t>5. DECLARAÇÃO ESTRATÉGICA DE PARCERIA E POSICIONAMENTO</w:t>
      </w:r>
    </w:p>
    <w:p>
      <w:pPr>
        <w:spacing w:before="80" w:after="120"/>
        <w:ind w:left="432" w:right="432"/>
        <w:jc w:val="center"/>
      </w:pPr>
      <w:r>
        <w:rPr>
          <w:rFonts w:ascii="Times New Roman" w:hAnsi="Times New Roman"/>
          <w:b/>
          <w:i/>
          <w:color w:val="D96B27"/>
          <w:sz w:val="20"/>
        </w:rPr>
        <w:t>“Nós, na EntreCAMPOS, já fizemos o trabalho pesado de pesquisar e catalogar 950 das cerca de 2.000 empresas formais do país. Com a parceria institucional do MADER e do FAR, IP, pretendemos validar e auditar este universo inicial e alcançar as restantes 1.000 empresas, com o objectivo de dotar Moçambique do seu primeiro Mapa Digital com 100% dos operadores do agronegócio integrados.”</w:t>
      </w:r>
    </w:p>
    <w:p>
      <w:pPr>
        <w:spacing w:before="160" w:after="60"/>
      </w:pPr>
      <w:r>
        <w:rPr>
          <w:rFonts w:ascii="Times New Roman" w:hAnsi="Times New Roman"/>
          <w:b/>
          <w:color w:val="054736"/>
          <w:sz w:val="24"/>
        </w:rPr>
        <w:t>6. GANHOS INSTITUCIONAIS PARA O MADER E O FAR, IP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1. Transparência e Eficiência no Fomento (FAR, IP): </w:t>
      </w:r>
      <w:r>
        <w:rPr>
          <w:rFonts w:ascii="Times New Roman" w:hAnsi="Times New Roman"/>
          <w:color w:val="111827"/>
          <w:sz w:val="21"/>
        </w:rPr>
        <w:t>Acesso a um repositório auditado de fornecedores de insumos por província, optimizando a distribuição de subsídios públicos.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2. Canal Directo de Comunicação Massiva: </w:t>
      </w:r>
      <w:r>
        <w:rPr>
          <w:rFonts w:ascii="Times New Roman" w:hAnsi="Times New Roman"/>
          <w:color w:val="111827"/>
          <w:sz w:val="21"/>
        </w:rPr>
        <w:t>Difusão imediata via Web, Email e SMS de editais, avisos fitossanitários, concursos públicos e políticas do Ministério.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3. Apoio ao Extensionismo Agrário: </w:t>
      </w:r>
      <w:r>
        <w:rPr>
          <w:rFonts w:ascii="Times New Roman" w:hAnsi="Times New Roman"/>
          <w:color w:val="111827"/>
          <w:sz w:val="21"/>
        </w:rPr>
        <w:t>Ferramenta móvel de apoio aos extensionistas no terreno para consulta de fichas técnicas, cotações em tempo real (SIMA/IPC) e apoio ao diagnóstico via inteligência artificial (AgroBotanica AI).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4. Isenção de Custos Orçamentais: </w:t>
      </w:r>
      <w:r>
        <w:rPr>
          <w:rFonts w:ascii="Times New Roman" w:hAnsi="Times New Roman"/>
          <w:color w:val="111827"/>
          <w:sz w:val="21"/>
        </w:rPr>
        <w:t>A infraestrutura tecnológica é cedida sem encargo financeiro para os cofres do Estado, operando num modelo de cooperação pública-privada.</w:t>
      </w:r>
    </w:p>
    <w:p>
      <w:pPr>
        <w:spacing w:before="160" w:after="60"/>
      </w:pPr>
      <w:r>
        <w:rPr>
          <w:rFonts w:ascii="Times New Roman" w:hAnsi="Times New Roman"/>
          <w:b/>
          <w:color w:val="054736"/>
          <w:sz w:val="24"/>
        </w:rPr>
        <w:t>7. ROTEIRO PRAGMÁTICO DE IMPLEMENTAÇÃO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Fase 1 (Outubro 2026): </w:t>
      </w:r>
      <w:r>
        <w:rPr>
          <w:rFonts w:ascii="Times New Roman" w:hAnsi="Times New Roman"/>
          <w:color w:val="111827"/>
          <w:sz w:val="21"/>
        </w:rPr>
        <w:t>Constituição do Grupo de Trabalho Técnico com pontos focais da EntreCAMPOS, FAR, IP e MADER.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Fase 2 (Outubro 2026): </w:t>
      </w:r>
      <w:r>
        <w:rPr>
          <w:rFonts w:ascii="Times New Roman" w:hAnsi="Times New Roman"/>
          <w:color w:val="111827"/>
          <w:sz w:val="21"/>
        </w:rPr>
        <w:t>Assinatura do Memorando de Entendimento (MOU) para validação institucional de dados.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Fase 3 (Nov–Dez 2026): </w:t>
      </w:r>
      <w:r>
        <w:rPr>
          <w:rFonts w:ascii="Times New Roman" w:hAnsi="Times New Roman"/>
          <w:color w:val="111827"/>
          <w:sz w:val="21"/>
        </w:rPr>
        <w:t>Projecto Piloto de Validação numa província prioritária (ex: Manica ou Sofala).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827"/>
          <w:sz w:val="21"/>
        </w:rPr>
        <w:t xml:space="preserve">Fase 4 (Janeiro 2027): </w:t>
      </w:r>
      <w:r>
        <w:rPr>
          <w:rFonts w:ascii="Times New Roman" w:hAnsi="Times New Roman"/>
          <w:color w:val="111827"/>
          <w:sz w:val="21"/>
        </w:rPr>
        <w:t>Lançamento Oficial e Expansão para o Mapeamento 100% Nacional.</w:t>
      </w:r>
    </w:p>
    <w:p>
      <w:pPr>
        <w:spacing w:before="160"/>
        <w:jc w:val="center"/>
      </w:pPr>
      <w:r>
        <w:rPr>
          <w:rFonts w:ascii="Times New Roman" w:hAnsi="Times New Roman"/>
          <w:sz w:val="19"/>
        </w:rPr>
        <w:t>Maputo, Setembro de 2026</w:t>
        <w:br/>
        <w:br/>
        <w:t>__________________________________________________</w:t>
        <w:br/>
      </w:r>
      <w:r>
        <w:rPr>
          <w:rFonts w:ascii="Times New Roman" w:hAnsi="Times New Roman"/>
          <w:b/>
          <w:sz w:val="21"/>
        </w:rPr>
        <w:t>SILVA CHAMO</w:t>
        <w:br/>
      </w:r>
      <w:r>
        <w:rPr>
          <w:rFonts w:ascii="Times New Roman" w:hAnsi="Times New Roman"/>
          <w:color w:val="4B5563"/>
          <w:sz w:val="18"/>
        </w:rPr>
        <w:t>Director Geral da EntreCAMPOS / Promotor da Base de Dados Agro</w:t>
        <w:br/>
        <w:t>Contacto: +258 87 75 75 288 | E-mail: geral@basededadosagro.com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