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pPr>
    </w:p>
    <w:p>
      <w:pPr>
        <w:spacing w:before="0" w:after="0" w:line="300" w:lineRule="auto"/>
      </w:pPr>
    </w:p>
    <w:p>
      <w:pPr>
        <w:spacing w:before="0" w:after="0" w:line="300" w:lineRule="auto"/>
      </w:pPr>
    </w:p>
    <w:p>
      <w:pPr>
        <w:spacing w:before="0" w:after="0" w:line="300" w:lineRule="auto"/>
      </w:pPr>
    </w:p>
    <w:p>
      <w:pPr>
        <w:spacing w:before="0" w:after="0" w:line="300" w:lineRule="auto"/>
      </w:pPr>
    </w:p>
    <w:p>
      <w:pPr>
        <w:spacing w:before="0" w:after="240" w:line="240" w:lineRule="auto"/>
        <w:jc w:val="center"/>
      </w:pPr>
      <w:r>
        <w:rPr>
          <w:rFonts w:ascii="Calibri" w:hAnsi="Calibri"/>
          <w:b/>
          <w:i w:val="0"/>
          <w:color w:val="2E74B5"/>
          <w:sz w:val="22"/>
        </w:rPr>
        <w:t>GUIDE D'ARCHITECTURE</w:t>
      </w:r>
    </w:p>
    <w:p>
      <w:pPr>
        <w:spacing w:before="0" w:after="200" w:line="240" w:lineRule="auto"/>
        <w:jc w:val="center"/>
      </w:pPr>
      <w:r>
        <w:rPr>
          <w:rFonts w:ascii="Calibri" w:hAnsi="Calibri"/>
          <w:b/>
          <w:i w:val="0"/>
          <w:color w:val="0B2545"/>
          <w:sz w:val="60"/>
        </w:rPr>
        <w:t>LiouvilleSpectroscopyV6</w:t>
      </w:r>
    </w:p>
    <w:p>
      <w:pPr>
        <w:spacing w:before="0" w:after="520" w:line="276" w:lineRule="auto"/>
        <w:jc w:val="center"/>
      </w:pPr>
      <w:r>
        <w:rPr>
          <w:rFonts w:ascii="Calibri" w:hAnsi="Calibri"/>
          <w:b w:val="0"/>
          <w:i w:val="0"/>
          <w:color w:val="1F4D78"/>
          <w:sz w:val="28"/>
        </w:rPr>
        <w:t>Structure de la classe, chemin du calcul, pathways UFSS, matrice de densité et parallélisation</w:t>
      </w:r>
    </w:p>
    <w:p>
      <w:pPr>
        <w:spacing w:before="0" w:after="80" w:line="240" w:lineRule="auto"/>
        <w:jc w:val="center"/>
      </w:pPr>
      <w:r>
        <w:rPr>
          <w:rFonts w:ascii="Calibri" w:hAnsi="Calibri"/>
          <w:b w:val="0"/>
          <w:i/>
          <w:color w:val="666666"/>
          <w:sz w:val="22"/>
        </w:rPr>
        <w:t>Manuel conceptuel et référence de lecture du code</w:t>
      </w:r>
    </w:p>
    <w:p>
      <w:pPr>
        <w:spacing w:before="0" w:after="0" w:line="240" w:lineRule="auto"/>
        <w:jc w:val="center"/>
      </w:pPr>
      <w:r>
        <w:rPr>
          <w:rFonts w:ascii="Calibri" w:hAnsi="Calibri"/>
          <w:b w:val="0"/>
          <w:i w:val="0"/>
          <w:color w:val="666666"/>
          <w:sz w:val="19"/>
        </w:rPr>
        <w:t>Version analysée : 25 juin 2026</w:t>
      </w:r>
    </w:p>
    <w:p>
      <w:r>
        <w:br w:type="page"/>
      </w:r>
    </w:p>
    <w:p>
      <w:pPr>
        <w:pStyle w:val="Heading1"/>
      </w:pPr>
      <w:r>
        <w:t>Comment lire ce document</w:t>
      </w:r>
    </w:p>
    <w:p>
      <w:pPr>
        <w:spacing w:before="0" w:after="120" w:line="300" w:lineRule="auto"/>
      </w:pPr>
      <w:r>
        <w:rPr>
          <w:rFonts w:ascii="Calibri" w:hAnsi="Calibri"/>
          <w:b w:val="0"/>
          <w:i w:val="0"/>
          <w:color w:val="000000"/>
          <w:sz w:val="22"/>
        </w:rPr>
        <w:t>La classe mélange trois responsabilités qui sont liées mais conceptuellement distinctes : (1) préparer un modèle quantique dans l'espace de Liouville, (2) évaluer des réponses spectroscopiques du troisième ordre, et (3) accélérer le scan fréquentiel. Le meilleur moyen de la comprendre est de séparer le coeur physique des optimisations.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E"/>
          </w:tcPr>
          <w:p>
            <w:pPr>
              <w:spacing w:before="0" w:after="60" w:line="264" w:lineRule="auto"/>
            </w:pPr>
            <w:r>
              <w:rPr>
                <w:rFonts w:ascii="Calibri" w:hAnsi="Calibri"/>
                <w:b/>
                <w:i w:val="0"/>
                <w:color w:val="2F6B4F"/>
                <w:sz w:val="21"/>
              </w:rPr>
              <w:t>Réponse courte à la question sur les workers</w:t>
            </w:r>
          </w:p>
          <w:p>
            <w:pPr>
              <w:spacing w:before="0" w:after="0" w:line="288" w:lineRule="auto"/>
            </w:pPr>
            <w:r>
              <w:rPr>
                <w:rFonts w:ascii="Calibri" w:hAnsi="Calibri"/>
                <w:b w:val="0"/>
                <w:i w:val="0"/>
                <w:color w:val="000000"/>
                <w:sz w:val="20"/>
              </w:rPr>
              <w:t>Les workers et les threads ne définissent aucune physique. Ils découpent seulement la grille (omega1, omega3) en colonnes indépendantes. Cette infrastructure existait déjà dans V5 et a été conservée dans V6. On peut utiliser toute la classe avec parallel_backend='serial' et n_jobs=1.</w:t>
            </w:r>
          </w:p>
        </w:tc>
      </w:tr>
    </w:tbl>
    <w:p>
      <w:pPr>
        <w:spacing w:before="0" w:after="40" w:line="300" w:lineRule="auto"/>
      </w:pPr>
    </w:p>
    <w:p>
      <w:pPr>
        <w:pStyle w:val="Heading1"/>
      </w:pPr>
      <w:r>
        <w:t>Table des matières</w:t>
      </w:r>
    </w:p>
    <w:p>
      <w:pPr>
        <w:numPr>
          <w:ilvl w:val="0"/>
          <w:numId w:val="10"/>
        </w:numPr>
      </w:pPr>
      <w:r>
        <w:rPr>
          <w:rFonts w:ascii="Calibri" w:hAnsi="Calibri"/>
          <w:b w:val="0"/>
          <w:i w:val="0"/>
          <w:color w:val="000000"/>
          <w:sz w:val="21"/>
        </w:rPr>
        <w:t>1. Vue d'ensemble et responsabilités</w:t>
      </w:r>
    </w:p>
    <w:p>
      <w:pPr>
        <w:numPr>
          <w:ilvl w:val="0"/>
          <w:numId w:val="10"/>
        </w:numPr>
      </w:pPr>
      <w:r>
        <w:rPr>
          <w:rFonts w:ascii="Calibri" w:hAnsi="Calibri"/>
          <w:b w:val="0"/>
          <w:i w:val="0"/>
          <w:color w:val="000000"/>
          <w:sz w:val="21"/>
        </w:rPr>
        <w:t>2. Ce qui vient de V5 et ce qui est nouveau dans V6</w:t>
      </w:r>
    </w:p>
    <w:p>
      <w:pPr>
        <w:numPr>
          <w:ilvl w:val="0"/>
          <w:numId w:val="10"/>
        </w:numPr>
      </w:pPr>
      <w:r>
        <w:rPr>
          <w:rFonts w:ascii="Calibri" w:hAnsi="Calibri"/>
          <w:b w:val="0"/>
          <w:i w:val="0"/>
          <w:color w:val="000000"/>
          <w:sz w:val="21"/>
        </w:rPr>
        <w:t>3. Les objets définis au niveau du module</w:t>
      </w:r>
    </w:p>
    <w:p>
      <w:pPr>
        <w:numPr>
          <w:ilvl w:val="0"/>
          <w:numId w:val="10"/>
        </w:numPr>
      </w:pPr>
      <w:r>
        <w:rPr>
          <w:rFonts w:ascii="Calibri" w:hAnsi="Calibri"/>
          <w:b w:val="0"/>
          <w:i w:val="0"/>
          <w:color w:val="000000"/>
          <w:sz w:val="21"/>
        </w:rPr>
        <w:t>4. Cycle de vie d'une instance du solver</w:t>
      </w:r>
    </w:p>
    <w:p>
      <w:pPr>
        <w:numPr>
          <w:ilvl w:val="0"/>
          <w:numId w:val="10"/>
        </w:numPr>
      </w:pPr>
      <w:r>
        <w:rPr>
          <w:rFonts w:ascii="Calibri" w:hAnsi="Calibri"/>
          <w:b w:val="0"/>
          <w:i w:val="0"/>
          <w:color w:val="000000"/>
          <w:sz w:val="21"/>
        </w:rPr>
        <w:t>5. Paramètres et état interne</w:t>
      </w:r>
    </w:p>
    <w:p>
      <w:pPr>
        <w:numPr>
          <w:ilvl w:val="0"/>
          <w:numId w:val="10"/>
        </w:numPr>
      </w:pPr>
      <w:r>
        <w:rPr>
          <w:rFonts w:ascii="Calibri" w:hAnsi="Calibri"/>
          <w:b w:val="0"/>
          <w:i w:val="0"/>
          <w:color w:val="000000"/>
          <w:sz w:val="21"/>
        </w:rPr>
        <w:t>6. Chargement du modèle et changements de base</w:t>
      </w:r>
    </w:p>
    <w:p>
      <w:pPr>
        <w:numPr>
          <w:ilvl w:val="0"/>
          <w:numId w:val="10"/>
        </w:numPr>
      </w:pPr>
      <w:r>
        <w:rPr>
          <w:rFonts w:ascii="Calibri" w:hAnsi="Calibri"/>
          <w:b w:val="0"/>
          <w:i w:val="0"/>
          <w:color w:val="000000"/>
          <w:sz w:val="21"/>
        </w:rPr>
        <w:t>7. Matrice de densité initiale</w:t>
      </w:r>
    </w:p>
    <w:p>
      <w:pPr>
        <w:numPr>
          <w:ilvl w:val="0"/>
          <w:numId w:val="10"/>
        </w:numPr>
      </w:pPr>
      <w:r>
        <w:rPr>
          <w:rFonts w:ascii="Calibri" w:hAnsi="Calibri"/>
          <w:b w:val="0"/>
          <w:i w:val="0"/>
          <w:color w:val="000000"/>
          <w:sz w:val="21"/>
        </w:rPr>
        <w:t>8. Dissipation et construction du Liouvillien</w:t>
      </w:r>
    </w:p>
    <w:p>
      <w:pPr>
        <w:numPr>
          <w:ilvl w:val="0"/>
          <w:numId w:val="10"/>
        </w:numPr>
      </w:pPr>
      <w:r>
        <w:rPr>
          <w:rFonts w:ascii="Calibri" w:hAnsi="Calibri"/>
          <w:b w:val="0"/>
          <w:i w:val="0"/>
          <w:color w:val="000000"/>
          <w:sz w:val="21"/>
        </w:rPr>
        <w:t>9. Backends dense et sparse</w:t>
      </w:r>
    </w:p>
    <w:p>
      <w:pPr>
        <w:numPr>
          <w:ilvl w:val="0"/>
          <w:numId w:val="10"/>
        </w:numPr>
      </w:pPr>
      <w:r>
        <w:rPr>
          <w:rFonts w:ascii="Calibri" w:hAnsi="Calibri"/>
          <w:b w:val="0"/>
          <w:i w:val="0"/>
          <w:color w:val="000000"/>
          <w:sz w:val="21"/>
        </w:rPr>
        <w:t>10. Pathways, UFSS et conventions Ku/Kd/Bu/Bd</w:t>
      </w:r>
    </w:p>
    <w:p>
      <w:pPr>
        <w:numPr>
          <w:ilvl w:val="0"/>
          <w:numId w:val="10"/>
        </w:numPr>
      </w:pPr>
      <w:r>
        <w:rPr>
          <w:rFonts w:ascii="Calibri" w:hAnsi="Calibri"/>
          <w:b w:val="0"/>
          <w:i w:val="0"/>
          <w:color w:val="000000"/>
          <w:sz w:val="21"/>
        </w:rPr>
        <w:t>11. Calcul d'une réponse et génération des spectres</w:t>
      </w:r>
    </w:p>
    <w:p>
      <w:pPr>
        <w:numPr>
          <w:ilvl w:val="0"/>
          <w:numId w:val="10"/>
        </w:numPr>
      </w:pPr>
      <w:r>
        <w:rPr>
          <w:rFonts w:ascii="Calibri" w:hAnsi="Calibri"/>
          <w:b w:val="0"/>
          <w:i w:val="0"/>
          <w:color w:val="000000"/>
          <w:sz w:val="21"/>
        </w:rPr>
        <w:t>12. Workers, threads et processus</w:t>
      </w:r>
    </w:p>
    <w:p>
      <w:pPr>
        <w:numPr>
          <w:ilvl w:val="0"/>
          <w:numId w:val="10"/>
        </w:numPr>
      </w:pPr>
      <w:r>
        <w:rPr>
          <w:rFonts w:ascii="Calibri" w:hAnsi="Calibri"/>
          <w:b w:val="0"/>
          <w:i w:val="0"/>
          <w:color w:val="000000"/>
          <w:sz w:val="21"/>
        </w:rPr>
        <w:t>13. Caches, mémoire et performance</w:t>
      </w:r>
    </w:p>
    <w:p>
      <w:pPr>
        <w:numPr>
          <w:ilvl w:val="0"/>
          <w:numId w:val="10"/>
        </w:numPr>
      </w:pPr>
      <w:r>
        <w:rPr>
          <w:rFonts w:ascii="Calibri" w:hAnsi="Calibri"/>
          <w:b w:val="0"/>
          <w:i w:val="0"/>
          <w:color w:val="000000"/>
          <w:sz w:val="21"/>
        </w:rPr>
        <w:t>14. SpectroscopyPlotter</w:t>
      </w:r>
    </w:p>
    <w:p>
      <w:pPr>
        <w:numPr>
          <w:ilvl w:val="0"/>
          <w:numId w:val="10"/>
        </w:numPr>
      </w:pPr>
      <w:r>
        <w:rPr>
          <w:rFonts w:ascii="Calibri" w:hAnsi="Calibri"/>
          <w:b w:val="0"/>
          <w:i w:val="0"/>
          <w:color w:val="000000"/>
          <w:sz w:val="21"/>
        </w:rPr>
        <w:t>15. Référence des méthodes publiques</w:t>
      </w:r>
    </w:p>
    <w:p>
      <w:pPr>
        <w:numPr>
          <w:ilvl w:val="0"/>
          <w:numId w:val="10"/>
        </w:numPr>
      </w:pPr>
      <w:r>
        <w:rPr>
          <w:rFonts w:ascii="Calibri" w:hAnsi="Calibri"/>
          <w:b w:val="0"/>
          <w:i w:val="0"/>
          <w:color w:val="000000"/>
          <w:sz w:val="21"/>
        </w:rPr>
        <w:t>16. Exemple mental avec le modèle SOC</w:t>
      </w:r>
    </w:p>
    <w:p>
      <w:pPr>
        <w:numPr>
          <w:ilvl w:val="0"/>
          <w:numId w:val="10"/>
        </w:numPr>
      </w:pPr>
      <w:r>
        <w:rPr>
          <w:rFonts w:ascii="Calibri" w:hAnsi="Calibri"/>
          <w:b w:val="0"/>
          <w:i w:val="0"/>
          <w:color w:val="000000"/>
          <w:sz w:val="21"/>
        </w:rPr>
        <w:t>17. Réglages recommandés et points à valider</w:t>
      </w:r>
    </w:p>
    <w:p>
      <w:pPr>
        <w:numPr>
          <w:ilvl w:val="0"/>
          <w:numId w:val="10"/>
        </w:numPr>
      </w:pPr>
      <w:r>
        <w:rPr>
          <w:rFonts w:ascii="Calibri" w:hAnsi="Calibri"/>
          <w:b w:val="0"/>
          <w:i w:val="0"/>
          <w:color w:val="000000"/>
          <w:sz w:val="21"/>
        </w:rPr>
        <w:t>Annexes : pathways standards et glossaire</w:t>
      </w:r>
    </w:p>
    <w:p>
      <w:r>
        <w:br w:type="page"/>
      </w:r>
    </w:p>
    <w:p>
      <w:pPr>
        <w:pStyle w:val="Heading1"/>
      </w:pPr>
      <w:r>
        <w:t>1. Vue d'ensemble et responsabilités</w:t>
      </w:r>
    </w:p>
    <w:p>
      <w:pPr>
        <w:spacing w:before="0" w:after="120" w:line="300" w:lineRule="auto"/>
      </w:pPr>
      <w:r>
        <w:rPr>
          <w:rFonts w:ascii="Calibri" w:hAnsi="Calibri"/>
          <w:b w:val="0"/>
          <w:i w:val="0"/>
          <w:color w:val="000000"/>
          <w:sz w:val="22"/>
        </w:rPr>
        <w:t>LiouvilleSpectroscopySolver reçoit un Hamiltonien H(k), un opérateur d'interaction O(k), des opérateurs de dissipation facultatifs, un état initial et une liste de pathways. Il transforme ces objets en superopérateurs de Liouville, applique les interactions et les propagateurs dans l'ordre demandé, puis intègre la réponse sur les points k.</w:t>
      </w:r>
    </w:p>
    <w:p>
      <w:pPr>
        <w:spacing w:before="0" w:after="60" w:line="240" w:lineRule="auto"/>
        <w:jc w:val="center"/>
      </w:pPr>
      <w:r>
        <w:drawing>
          <wp:inline xmlns:a="http://schemas.openxmlformats.org/drawingml/2006/main" xmlns:pic="http://schemas.openxmlformats.org/drawingml/2006/picture">
            <wp:extent cx="5806440" cy="3483864"/>
            <wp:docPr id="1" name="Picture 1" descr="Schéma en sept blocs du flux de configuration, chargement, backend, scan, réponses, résultats et tracés." title="Schéma en sept blocs du flux de configuration, chargement, backend, scan, réponses, résultats et tracé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483864"/>
                    </a:xfrm>
                    <a:prstGeom prst="rect"/>
                  </pic:spPr>
                </pic:pic>
              </a:graphicData>
            </a:graphic>
          </wp:inline>
        </w:drawing>
      </w:r>
    </w:p>
    <w:p>
      <w:pPr>
        <w:pStyle w:val="Caption"/>
        <w:keepNext w:val="0"/>
      </w:pPr>
      <w:r>
        <w:t>Figure 1 — Les sept blocs conceptuels de la classe V6.</w:t>
      </w:r>
    </w:p>
    <w:p>
      <w:pPr>
        <w:pStyle w:val="Heading2"/>
      </w:pPr>
      <w:r>
        <w:t>Les trois couches à garder en tête</w:t>
      </w:r>
    </w:p>
    <w:p>
      <w:pPr>
        <w:numPr>
          <w:ilvl w:val="0"/>
          <w:numId w:val="11"/>
        </w:numPr>
      </w:pPr>
      <w:r>
        <w:rPr>
          <w:rFonts w:ascii="Calibri" w:hAnsi="Calibri"/>
          <w:b/>
          <w:i w:val="0"/>
          <w:color w:val="0B2545"/>
          <w:sz w:val="21"/>
        </w:rPr>
        <w:t>Couche physique</w:t>
      </w:r>
      <w:r>
        <w:rPr>
          <w:rFonts w:ascii="Calibri" w:hAnsi="Calibri"/>
          <w:b w:val="0"/>
          <w:i w:val="0"/>
          <w:color w:val="000000"/>
          <w:sz w:val="21"/>
        </w:rPr>
        <w:t xml:space="preserve"> — H, l'opérateur dipolaire ou de courant, rho(0), les opérateurs Lindblad et les pathways.</w:t>
      </w:r>
    </w:p>
    <w:p>
      <w:pPr>
        <w:numPr>
          <w:ilvl w:val="0"/>
          <w:numId w:val="12"/>
        </w:numPr>
      </w:pPr>
      <w:r>
        <w:rPr>
          <w:rFonts w:ascii="Calibri" w:hAnsi="Calibri"/>
          <w:b/>
          <w:i w:val="0"/>
          <w:color w:val="0B2545"/>
          <w:sz w:val="21"/>
        </w:rPr>
        <w:t>Couche algébrique</w:t>
      </w:r>
      <w:r>
        <w:rPr>
          <w:rFonts w:ascii="Calibri" w:hAnsi="Calibri"/>
          <w:b w:val="0"/>
          <w:i w:val="0"/>
          <w:color w:val="000000"/>
          <w:sz w:val="21"/>
        </w:rPr>
        <w:t xml:space="preserve"> — vectorisation de rho, superopérateurs gauche/droite, Liouvillien, résolvants et propagateur de tau2.</w:t>
      </w:r>
    </w:p>
    <w:p>
      <w:pPr>
        <w:numPr>
          <w:ilvl w:val="0"/>
          <w:numId w:val="13"/>
        </w:numPr>
      </w:pPr>
      <w:r>
        <w:rPr>
          <w:rFonts w:ascii="Calibri" w:hAnsi="Calibri"/>
          <w:b/>
          <w:i w:val="0"/>
          <w:color w:val="0B2545"/>
          <w:sz w:val="21"/>
        </w:rPr>
        <w:t>Couche d'exécution</w:t>
      </w:r>
      <w:r>
        <w:rPr>
          <w:rFonts w:ascii="Calibri" w:hAnsi="Calibri"/>
          <w:b w:val="0"/>
          <w:i w:val="0"/>
          <w:color w:val="000000"/>
          <w:sz w:val="21"/>
        </w:rPr>
        <w:t xml:space="preserve"> — boucles sur omega1, omega3 et k, caches, backend dense/sparse et parallélisme optionnel.</w:t>
      </w:r>
    </w:p>
    <w:p>
      <w:pPr>
        <w:pStyle w:val="Heading1"/>
      </w:pPr>
      <w:r>
        <w:t>2. Ce qui vient de V5 et ce qui est nouveau dans V6</w:t>
      </w:r>
    </w:p>
    <w:tbl>
      <w:tblPr>
        <w:tblStyle w:val="TableGrid"/>
        <w:tblW w:type="dxa" w:w="9360"/>
        <w:jc w:val="left"/>
        <w:tblLayout w:type="fixed"/>
        <w:tblLook w:firstColumn="1" w:firstRow="1" w:lastColumn="0" w:lastRow="0" w:noHBand="0" w:noVBand="1" w:val="04A0"/>
        <w:tblInd w:w="120" w:type="dxa"/>
      </w:tblPr>
      <w:tblGrid>
        <w:gridCol w:w="2700"/>
        <w:gridCol w:w="1800"/>
        <w:gridCol w:w="4860"/>
      </w:tblGrid>
      <w:tr>
        <w:trPr>
          <w:tblHeader w:val="true"/>
        </w:trPr>
        <w:tc>
          <w:tcPr>
            <w:tcW w:type="dxa" w:w="270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8"/>
              </w:rPr>
              <w:t>Fonctionnalité</w:t>
            </w:r>
          </w:p>
        </w:tc>
        <w:tc>
          <w:tcPr>
            <w:tcW w:type="dxa" w:w="180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8"/>
              </w:rPr>
              <w:t>Présente en V5</w:t>
            </w:r>
          </w:p>
        </w:tc>
        <w:tc>
          <w:tcPr>
            <w:tcW w:type="dxa" w:w="486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8"/>
              </w:rPr>
              <w:t>Évolution en V6</w:t>
            </w:r>
          </w:p>
        </w:tc>
      </w:tr>
      <w:tr>
        <w:tc>
          <w:tcPr>
            <w:tcW w:type="dxa" w:w="2700"/>
          </w:tcPr>
          <w:p>
            <w:pPr>
              <w:spacing w:before="0" w:after="0" w:line="264" w:lineRule="auto"/>
              <w:jc w:val="left"/>
            </w:pPr>
            <w:r>
              <w:rPr>
                <w:rFonts w:ascii="Calibri" w:hAnsi="Calibri"/>
                <w:b w:val="0"/>
                <w:i w:val="0"/>
                <w:color w:val="000000"/>
                <w:sz w:val="18"/>
              </w:rPr>
              <w:t>Backends dense et sparse</w:t>
            </w:r>
          </w:p>
        </w:tc>
        <w:tc>
          <w:tcPr>
            <w:tcW w:type="dxa" w:w="1800"/>
          </w:tcPr>
          <w:p>
            <w:pPr>
              <w:spacing w:before="0" w:after="0" w:line="264" w:lineRule="auto"/>
              <w:jc w:val="center"/>
            </w:pPr>
            <w:r>
              <w:rPr>
                <w:rFonts w:ascii="Calibri" w:hAnsi="Calibri"/>
                <w:b w:val="0"/>
                <w:i w:val="0"/>
                <w:color w:val="000000"/>
                <w:sz w:val="18"/>
              </w:rPr>
              <w:t>Oui</w:t>
            </w:r>
          </w:p>
        </w:tc>
        <w:tc>
          <w:tcPr>
            <w:tcW w:type="dxa" w:w="4860"/>
          </w:tcPr>
          <w:p>
            <w:pPr>
              <w:spacing w:before="0" w:after="0" w:line="264" w:lineRule="auto"/>
              <w:jc w:val="center"/>
            </w:pPr>
            <w:r>
              <w:rPr>
                <w:rFonts w:ascii="Calibri" w:hAnsi="Calibri"/>
                <w:b w:val="0"/>
                <w:i w:val="0"/>
                <w:color w:val="000000"/>
                <w:sz w:val="18"/>
              </w:rPr>
              <w:t>Conservés</w:t>
            </w:r>
          </w:p>
        </w:tc>
      </w:tr>
      <w:tr>
        <w:tc>
          <w:tcPr>
            <w:tcW w:type="dxa" w:w="2700"/>
          </w:tcPr>
          <w:p>
            <w:pPr>
              <w:spacing w:before="0" w:after="0" w:line="264" w:lineRule="auto"/>
              <w:jc w:val="left"/>
            </w:pPr>
            <w:r>
              <w:rPr>
                <w:rFonts w:ascii="Calibri" w:hAnsi="Calibri"/>
                <w:b w:val="0"/>
                <w:i w:val="0"/>
                <w:color w:val="000000"/>
                <w:sz w:val="18"/>
              </w:rPr>
              <w:t>Caches de résolvants et de G2</w:t>
            </w:r>
          </w:p>
        </w:tc>
        <w:tc>
          <w:tcPr>
            <w:tcW w:type="dxa" w:w="1800"/>
          </w:tcPr>
          <w:p>
            <w:pPr>
              <w:spacing w:before="0" w:after="0" w:line="264" w:lineRule="auto"/>
              <w:jc w:val="center"/>
            </w:pPr>
            <w:r>
              <w:rPr>
                <w:rFonts w:ascii="Calibri" w:hAnsi="Calibri"/>
                <w:b w:val="0"/>
                <w:i w:val="0"/>
                <w:color w:val="000000"/>
                <w:sz w:val="18"/>
              </w:rPr>
              <w:t>Oui</w:t>
            </w:r>
          </w:p>
        </w:tc>
        <w:tc>
          <w:tcPr>
            <w:tcW w:type="dxa" w:w="4860"/>
          </w:tcPr>
          <w:p>
            <w:pPr>
              <w:spacing w:before="0" w:after="0" w:line="264" w:lineRule="auto"/>
              <w:jc w:val="center"/>
            </w:pPr>
            <w:r>
              <w:rPr>
                <w:rFonts w:ascii="Calibri" w:hAnsi="Calibri"/>
                <w:b w:val="0"/>
                <w:i w:val="0"/>
                <w:color w:val="000000"/>
                <w:sz w:val="18"/>
              </w:rPr>
              <w:t>Conservés</w:t>
            </w:r>
          </w:p>
        </w:tc>
      </w:tr>
      <w:tr>
        <w:tc>
          <w:tcPr>
            <w:tcW w:type="dxa" w:w="2700"/>
          </w:tcPr>
          <w:p>
            <w:pPr>
              <w:spacing w:before="0" w:after="0" w:line="264" w:lineRule="auto"/>
              <w:jc w:val="left"/>
            </w:pPr>
            <w:r>
              <w:rPr>
                <w:rFonts w:ascii="Calibri" w:hAnsi="Calibri"/>
                <w:b w:val="0"/>
                <w:i w:val="0"/>
                <w:color w:val="000000"/>
                <w:sz w:val="18"/>
              </w:rPr>
              <w:t>Workers, threads et processus</w:t>
            </w:r>
          </w:p>
        </w:tc>
        <w:tc>
          <w:tcPr>
            <w:tcW w:type="dxa" w:w="1800"/>
          </w:tcPr>
          <w:p>
            <w:pPr>
              <w:spacing w:before="0" w:after="0" w:line="264" w:lineRule="auto"/>
              <w:jc w:val="center"/>
            </w:pPr>
            <w:r>
              <w:rPr>
                <w:rFonts w:ascii="Calibri" w:hAnsi="Calibri"/>
                <w:b w:val="0"/>
                <w:i w:val="0"/>
                <w:color w:val="000000"/>
                <w:sz w:val="18"/>
              </w:rPr>
              <w:t>Oui</w:t>
            </w:r>
          </w:p>
        </w:tc>
        <w:tc>
          <w:tcPr>
            <w:tcW w:type="dxa" w:w="4860"/>
          </w:tcPr>
          <w:p>
            <w:pPr>
              <w:spacing w:before="0" w:after="0" w:line="264" w:lineRule="auto"/>
              <w:jc w:val="center"/>
            </w:pPr>
            <w:r>
              <w:rPr>
                <w:rFonts w:ascii="Calibri" w:hAnsi="Calibri"/>
                <w:b w:val="0"/>
                <w:i w:val="0"/>
                <w:color w:val="000000"/>
                <w:sz w:val="18"/>
              </w:rPr>
              <w:t>Conservés</w:t>
            </w:r>
          </w:p>
        </w:tc>
      </w:tr>
      <w:tr>
        <w:tc>
          <w:tcPr>
            <w:tcW w:type="dxa" w:w="2700"/>
          </w:tcPr>
          <w:p>
            <w:pPr>
              <w:spacing w:before="0" w:after="0" w:line="264" w:lineRule="auto"/>
              <w:jc w:val="left"/>
            </w:pPr>
            <w:r>
              <w:rPr>
                <w:rFonts w:ascii="Calibri" w:hAnsi="Calibri"/>
                <w:b w:val="0"/>
                <w:i w:val="0"/>
                <w:color w:val="000000"/>
                <w:sz w:val="18"/>
              </w:rPr>
              <w:t>Six contractions R1-R6 codées en dur</w:t>
            </w:r>
          </w:p>
        </w:tc>
        <w:tc>
          <w:tcPr>
            <w:tcW w:type="dxa" w:w="1800"/>
          </w:tcPr>
          <w:p>
            <w:pPr>
              <w:spacing w:before="0" w:after="0" w:line="264" w:lineRule="auto"/>
              <w:jc w:val="center"/>
            </w:pPr>
            <w:r>
              <w:rPr>
                <w:rFonts w:ascii="Calibri" w:hAnsi="Calibri"/>
                <w:b w:val="0"/>
                <w:i w:val="0"/>
                <w:color w:val="000000"/>
                <w:sz w:val="18"/>
              </w:rPr>
              <w:t>Oui</w:t>
            </w:r>
          </w:p>
        </w:tc>
        <w:tc>
          <w:tcPr>
            <w:tcW w:type="dxa" w:w="4860"/>
          </w:tcPr>
          <w:p>
            <w:pPr>
              <w:spacing w:before="0" w:after="0" w:line="264" w:lineRule="auto"/>
              <w:jc w:val="left"/>
            </w:pPr>
            <w:r>
              <w:rPr>
                <w:rFonts w:ascii="Calibri" w:hAnsi="Calibri"/>
                <w:b w:val="0"/>
                <w:i w:val="0"/>
                <w:color w:val="000000"/>
                <w:sz w:val="18"/>
              </w:rPr>
              <w:t>Toujours disponibles comme chemin optimisé</w:t>
            </w:r>
          </w:p>
        </w:tc>
      </w:tr>
      <w:tr>
        <w:tc>
          <w:tcPr>
            <w:tcW w:type="dxa" w:w="2700"/>
          </w:tcPr>
          <w:p>
            <w:pPr>
              <w:spacing w:before="0" w:after="0" w:line="264" w:lineRule="auto"/>
              <w:jc w:val="left"/>
            </w:pPr>
            <w:r>
              <w:rPr>
                <w:rFonts w:ascii="Calibri" w:hAnsi="Calibri"/>
                <w:b w:val="0"/>
                <w:i w:val="0"/>
                <w:color w:val="000000"/>
                <w:sz w:val="18"/>
              </w:rPr>
              <w:t>Objet FrequencyPathway</w:t>
            </w:r>
          </w:p>
        </w:tc>
        <w:tc>
          <w:tcPr>
            <w:tcW w:type="dxa" w:w="1800"/>
          </w:tcPr>
          <w:p>
            <w:pPr>
              <w:spacing w:before="0" w:after="0" w:line="264" w:lineRule="auto"/>
              <w:jc w:val="center"/>
            </w:pPr>
            <w:r>
              <w:rPr>
                <w:rFonts w:ascii="Calibri" w:hAnsi="Calibri"/>
                <w:b w:val="0"/>
                <w:i w:val="0"/>
                <w:color w:val="000000"/>
                <w:sz w:val="18"/>
              </w:rPr>
              <w:t>Non</w:t>
            </w:r>
          </w:p>
        </w:tc>
        <w:tc>
          <w:tcPr>
            <w:tcW w:type="dxa" w:w="4860"/>
          </w:tcPr>
          <w:p>
            <w:pPr>
              <w:spacing w:before="0" w:after="0" w:line="264" w:lineRule="auto"/>
              <w:jc w:val="center"/>
            </w:pPr>
            <w:r>
              <w:rPr>
                <w:rFonts w:ascii="Calibri" w:hAnsi="Calibri"/>
                <w:b w:val="0"/>
                <w:i w:val="0"/>
                <w:color w:val="000000"/>
                <w:sz w:val="18"/>
              </w:rPr>
              <w:t>Ajouté</w:t>
            </w:r>
          </w:p>
        </w:tc>
      </w:tr>
      <w:tr>
        <w:tc>
          <w:tcPr>
            <w:tcW w:type="dxa" w:w="2700"/>
          </w:tcPr>
          <w:p>
            <w:pPr>
              <w:spacing w:before="0" w:after="0" w:line="264" w:lineRule="auto"/>
              <w:jc w:val="left"/>
            </w:pPr>
            <w:r>
              <w:rPr>
                <w:rFonts w:ascii="Calibri" w:hAnsi="Calibri"/>
                <w:b w:val="0"/>
                <w:i w:val="0"/>
                <w:color w:val="000000"/>
                <w:sz w:val="18"/>
              </w:rPr>
              <w:t>Traduction des diagrammes UFSS</w:t>
            </w:r>
          </w:p>
        </w:tc>
        <w:tc>
          <w:tcPr>
            <w:tcW w:type="dxa" w:w="1800"/>
          </w:tcPr>
          <w:p>
            <w:pPr>
              <w:spacing w:before="0" w:after="0" w:line="264" w:lineRule="auto"/>
              <w:jc w:val="center"/>
            </w:pPr>
            <w:r>
              <w:rPr>
                <w:rFonts w:ascii="Calibri" w:hAnsi="Calibri"/>
                <w:b w:val="0"/>
                <w:i w:val="0"/>
                <w:color w:val="000000"/>
                <w:sz w:val="18"/>
              </w:rPr>
              <w:t>Non</w:t>
            </w:r>
          </w:p>
        </w:tc>
        <w:tc>
          <w:tcPr>
            <w:tcW w:type="dxa" w:w="4860"/>
          </w:tcPr>
          <w:p>
            <w:pPr>
              <w:spacing w:before="0" w:after="0" w:line="264" w:lineRule="auto"/>
              <w:jc w:val="center"/>
            </w:pPr>
            <w:r>
              <w:rPr>
                <w:rFonts w:ascii="Calibri" w:hAnsi="Calibri"/>
                <w:b w:val="0"/>
                <w:i w:val="0"/>
                <w:color w:val="000000"/>
                <w:sz w:val="18"/>
              </w:rPr>
              <w:t>Ajoutée</w:t>
            </w:r>
          </w:p>
        </w:tc>
      </w:tr>
      <w:tr>
        <w:tc>
          <w:tcPr>
            <w:tcW w:type="dxa" w:w="2700"/>
          </w:tcPr>
          <w:p>
            <w:pPr>
              <w:spacing w:before="0" w:after="0" w:line="264" w:lineRule="auto"/>
              <w:jc w:val="left"/>
            </w:pPr>
            <w:r>
              <w:rPr>
                <w:rFonts w:ascii="Calibri" w:hAnsi="Calibri"/>
                <w:b w:val="0"/>
                <w:i w:val="0"/>
                <w:color w:val="000000"/>
                <w:sz w:val="18"/>
              </w:rPr>
              <w:t>Pathways actifs configurables</w:t>
            </w:r>
          </w:p>
        </w:tc>
        <w:tc>
          <w:tcPr>
            <w:tcW w:type="dxa" w:w="1800"/>
          </w:tcPr>
          <w:p>
            <w:pPr>
              <w:spacing w:before="0" w:after="0" w:line="264" w:lineRule="auto"/>
              <w:jc w:val="center"/>
            </w:pPr>
            <w:r>
              <w:rPr>
                <w:rFonts w:ascii="Calibri" w:hAnsi="Calibri"/>
                <w:b w:val="0"/>
                <w:i w:val="0"/>
                <w:color w:val="000000"/>
                <w:sz w:val="18"/>
              </w:rPr>
              <w:t>Non</w:t>
            </w:r>
          </w:p>
        </w:tc>
        <w:tc>
          <w:tcPr>
            <w:tcW w:type="dxa" w:w="4860"/>
          </w:tcPr>
          <w:p>
            <w:pPr>
              <w:spacing w:before="0" w:after="0" w:line="264" w:lineRule="auto"/>
              <w:jc w:val="center"/>
            </w:pPr>
            <w:r>
              <w:rPr>
                <w:rFonts w:ascii="Calibri" w:hAnsi="Calibri"/>
                <w:b w:val="0"/>
                <w:i w:val="0"/>
                <w:color w:val="000000"/>
                <w:sz w:val="18"/>
              </w:rPr>
              <w:t>Ajoutés</w:t>
            </w:r>
          </w:p>
        </w:tc>
      </w:tr>
      <w:tr>
        <w:tc>
          <w:tcPr>
            <w:tcW w:type="dxa" w:w="2700"/>
          </w:tcPr>
          <w:p>
            <w:pPr>
              <w:spacing w:before="0" w:after="0" w:line="264" w:lineRule="auto"/>
              <w:jc w:val="left"/>
            </w:pPr>
            <w:r>
              <w:rPr>
                <w:rFonts w:ascii="Calibri" w:hAnsi="Calibri"/>
                <w:b w:val="0"/>
                <w:i w:val="0"/>
                <w:color w:val="000000"/>
                <w:sz w:val="18"/>
              </w:rPr>
              <w:t>rho(0) fourni par l'utilisateur</w:t>
            </w:r>
          </w:p>
        </w:tc>
        <w:tc>
          <w:tcPr>
            <w:tcW w:type="dxa" w:w="1800"/>
          </w:tcPr>
          <w:p>
            <w:pPr>
              <w:spacing w:before="0" w:after="0" w:line="264" w:lineRule="auto"/>
              <w:jc w:val="center"/>
            </w:pPr>
            <w:r>
              <w:rPr>
                <w:rFonts w:ascii="Calibri" w:hAnsi="Calibri"/>
                <w:b w:val="0"/>
                <w:i w:val="0"/>
                <w:color w:val="000000"/>
                <w:sz w:val="18"/>
              </w:rPr>
              <w:t>Non</w:t>
            </w:r>
          </w:p>
        </w:tc>
        <w:tc>
          <w:tcPr>
            <w:tcW w:type="dxa" w:w="4860"/>
          </w:tcPr>
          <w:p>
            <w:pPr>
              <w:spacing w:before="0" w:after="0" w:line="264" w:lineRule="auto"/>
              <w:jc w:val="left"/>
            </w:pPr>
            <w:r>
              <w:rPr>
                <w:rFonts w:ascii="Calibri" w:hAnsi="Calibri"/>
                <w:b w:val="0"/>
                <w:i w:val="0"/>
                <w:color w:val="000000"/>
                <w:sz w:val="18"/>
              </w:rPr>
              <w:t>Ajouté avec validation et choix de base</w:t>
            </w:r>
          </w:p>
        </w:tc>
      </w:tr>
      <w:tr>
        <w:tc>
          <w:tcPr>
            <w:tcW w:type="dxa" w:w="2700"/>
          </w:tcPr>
          <w:p>
            <w:pPr>
              <w:spacing w:before="0" w:after="0" w:line="264" w:lineRule="auto"/>
              <w:jc w:val="left"/>
            </w:pPr>
            <w:r>
              <w:rPr>
                <w:rFonts w:ascii="Calibri" w:hAnsi="Calibri"/>
                <w:b w:val="0"/>
                <w:i w:val="0"/>
                <w:color w:val="000000"/>
                <w:sz w:val="18"/>
              </w:rPr>
              <w:t>Spectres R1, R2, ... séparés</w:t>
            </w:r>
          </w:p>
        </w:tc>
        <w:tc>
          <w:tcPr>
            <w:tcW w:type="dxa" w:w="1800"/>
          </w:tcPr>
          <w:p>
            <w:pPr>
              <w:spacing w:before="0" w:after="0" w:line="264" w:lineRule="auto"/>
              <w:jc w:val="center"/>
            </w:pPr>
            <w:r>
              <w:rPr>
                <w:rFonts w:ascii="Calibri" w:hAnsi="Calibri"/>
                <w:b w:val="0"/>
                <w:i w:val="0"/>
                <w:color w:val="000000"/>
                <w:sz w:val="18"/>
              </w:rPr>
              <w:t>Non</w:t>
            </w:r>
          </w:p>
        </w:tc>
        <w:tc>
          <w:tcPr>
            <w:tcW w:type="dxa" w:w="4860"/>
          </w:tcPr>
          <w:p>
            <w:pPr>
              <w:spacing w:before="0" w:after="0" w:line="264" w:lineRule="auto"/>
              <w:jc w:val="center"/>
            </w:pPr>
            <w:r>
              <w:rPr>
                <w:rFonts w:ascii="Calibri" w:hAnsi="Calibri"/>
                <w:b w:val="0"/>
                <w:i w:val="0"/>
                <w:color w:val="000000"/>
                <w:sz w:val="18"/>
              </w:rPr>
              <w:t>Ajoutés</w:t>
            </w:r>
          </w:p>
        </w:tc>
      </w:tr>
      <w:tr>
        <w:tc>
          <w:tcPr>
            <w:tcW w:type="dxa" w:w="2700"/>
          </w:tcPr>
          <w:p>
            <w:pPr>
              <w:spacing w:before="0" w:after="0" w:line="264" w:lineRule="auto"/>
              <w:jc w:val="left"/>
            </w:pPr>
            <w:r>
              <w:rPr>
                <w:rFonts w:ascii="Calibri" w:hAnsi="Calibri"/>
                <w:b w:val="0"/>
                <w:i w:val="0"/>
                <w:color w:val="000000"/>
                <w:sz w:val="18"/>
              </w:rPr>
              <w:t>Plot réel/imaginaire/module par composante</w:t>
            </w:r>
          </w:p>
        </w:tc>
        <w:tc>
          <w:tcPr>
            <w:tcW w:type="dxa" w:w="1800"/>
          </w:tcPr>
          <w:p>
            <w:pPr>
              <w:spacing w:before="0" w:after="0" w:line="264" w:lineRule="auto"/>
              <w:jc w:val="center"/>
            </w:pPr>
            <w:r>
              <w:rPr>
                <w:rFonts w:ascii="Calibri" w:hAnsi="Calibri"/>
                <w:b w:val="0"/>
                <w:i w:val="0"/>
                <w:color w:val="000000"/>
                <w:sz w:val="18"/>
              </w:rPr>
              <w:t>Partiel</w:t>
            </w:r>
          </w:p>
        </w:tc>
        <w:tc>
          <w:tcPr>
            <w:tcW w:type="dxa" w:w="4860"/>
          </w:tcPr>
          <w:p>
            <w:pPr>
              <w:spacing w:before="0" w:after="0" w:line="264" w:lineRule="auto"/>
              <w:jc w:val="center"/>
            </w:pPr>
            <w:r>
              <w:rPr>
                <w:rFonts w:ascii="Calibri" w:hAnsi="Calibri"/>
                <w:b w:val="0"/>
                <w:i w:val="0"/>
                <w:color w:val="000000"/>
                <w:sz w:val="18"/>
              </w:rPr>
              <w:t>API publique enrichie</w:t>
            </w:r>
          </w:p>
        </w:tc>
      </w:tr>
    </w:tbl>
    <w:p>
      <w:pPr>
        <w:spacing w:before="0" w:after="40" w:line="300" w:lineRule="auto"/>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60" w:line="264" w:lineRule="auto"/>
            </w:pPr>
            <w:r>
              <w:rPr>
                <w:rFonts w:ascii="Calibri" w:hAnsi="Calibri"/>
                <w:b/>
                <w:i w:val="0"/>
                <w:color w:val="2E74B5"/>
                <w:sz w:val="21"/>
              </w:rPr>
              <w:t>Point d'architecture</w:t>
            </w:r>
          </w:p>
          <w:p>
            <w:pPr>
              <w:spacing w:before="0" w:after="0" w:line="288" w:lineRule="auto"/>
            </w:pPr>
            <w:r>
              <w:rPr>
                <w:rFonts w:ascii="Calibri" w:hAnsi="Calibri"/>
                <w:b w:val="0"/>
                <w:i w:val="0"/>
                <w:color w:val="000000"/>
                <w:sz w:val="20"/>
              </w:rPr>
              <w:t>V6 possède deux chemins de calcul. Le chemin optimisé dense réutilise les contractions standards de V5 lorsque la liste active est exactement R1-R6. Le chemin générique calc_pathway est utilisé pour les pathways UFSS personnalisés et pour le backend sparse.</w:t>
            </w:r>
          </w:p>
        </w:tc>
      </w:tr>
    </w:tbl>
    <w:p>
      <w:pPr>
        <w:spacing w:before="0" w:after="40" w:line="300" w:lineRule="auto"/>
      </w:pPr>
    </w:p>
    <w:p>
      <w:pPr>
        <w:pStyle w:val="Heading1"/>
      </w:pPr>
      <w:r>
        <w:t>3. Les objets définis au niveau du module</w:t>
      </w:r>
    </w:p>
    <w:p>
      <w:pPr>
        <w:pStyle w:val="Heading2"/>
      </w:pPr>
      <w:r>
        <w:t>3.1 FrequencyPathway</w:t>
      </w:r>
    </w:p>
    <w:p>
      <w:pPr>
        <w:spacing w:before="0" w:after="120" w:line="300" w:lineRule="auto"/>
      </w:pPr>
      <w:r>
        <w:rPr>
          <w:rFonts w:ascii="Calibri" w:hAnsi="Calibri"/>
          <w:b w:val="0"/>
          <w:i w:val="0"/>
          <w:color w:val="000000"/>
          <w:sz w:val="22"/>
        </w:rPr>
        <w:t>FrequencyPathway est une dataclass immuable. Elle décrit un diagramme comme une donnée, au lieu de cacher sa séquence dans une expression matricielle.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8"/>
              </w:rPr>
              <w:t>Champ</w:t>
            </w:r>
          </w:p>
        </w:tc>
        <w:tc>
          <w:tcPr>
            <w:tcW w:type="dxa" w:w="746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8"/>
              </w:rPr>
              <w:t>Rôle</w:t>
            </w:r>
          </w:p>
        </w:tc>
      </w:tr>
      <w:tr>
        <w:tc>
          <w:tcPr>
            <w:tcW w:type="dxa" w:w="1900"/>
          </w:tcPr>
          <w:p>
            <w:pPr>
              <w:spacing w:before="0" w:after="0" w:line="264" w:lineRule="auto"/>
              <w:jc w:val="left"/>
            </w:pPr>
            <w:r>
              <w:rPr>
                <w:rFonts w:ascii="Calibri" w:hAnsi="Calibri"/>
                <w:b w:val="0"/>
                <w:i w:val="0"/>
                <w:color w:val="000000"/>
                <w:sz w:val="18"/>
              </w:rPr>
              <w:t>name</w:t>
            </w:r>
          </w:p>
        </w:tc>
        <w:tc>
          <w:tcPr>
            <w:tcW w:type="dxa" w:w="7460"/>
          </w:tcPr>
          <w:p>
            <w:pPr>
              <w:spacing w:before="0" w:after="0" w:line="264" w:lineRule="auto"/>
              <w:jc w:val="left"/>
            </w:pPr>
            <w:r>
              <w:rPr>
                <w:rFonts w:ascii="Calibri" w:hAnsi="Calibri"/>
                <w:b w:val="0"/>
                <w:i w:val="0"/>
                <w:color w:val="000000"/>
                <w:sz w:val="18"/>
              </w:rPr>
              <w:t>Nom public, par exemple R1 ou P2.</w:t>
            </w:r>
          </w:p>
        </w:tc>
      </w:tr>
      <w:tr>
        <w:tc>
          <w:tcPr>
            <w:tcW w:type="dxa" w:w="1900"/>
          </w:tcPr>
          <w:p>
            <w:pPr>
              <w:spacing w:before="0" w:after="0" w:line="264" w:lineRule="auto"/>
              <w:jc w:val="left"/>
            </w:pPr>
            <w:r>
              <w:rPr>
                <w:rFonts w:ascii="Calibri" w:hAnsi="Calibri"/>
                <w:b w:val="0"/>
                <w:i w:val="0"/>
                <w:color w:val="000000"/>
                <w:sz w:val="18"/>
              </w:rPr>
              <w:t>interactions</w:t>
            </w:r>
          </w:p>
        </w:tc>
        <w:tc>
          <w:tcPr>
            <w:tcW w:type="dxa" w:w="7460"/>
          </w:tcPr>
          <w:p>
            <w:pPr>
              <w:spacing w:before="0" w:after="0" w:line="264" w:lineRule="auto"/>
              <w:jc w:val="left"/>
            </w:pPr>
            <w:r>
              <w:rPr>
                <w:rFonts w:ascii="Calibri" w:hAnsi="Calibri"/>
                <w:b w:val="0"/>
                <w:i w:val="0"/>
                <w:color w:val="000000"/>
                <w:sz w:val="18"/>
              </w:rPr>
              <w:t>Tuple ordonné de Ku, Kd, Bu et Bd.</w:t>
            </w:r>
          </w:p>
        </w:tc>
      </w:tr>
      <w:tr>
        <w:tc>
          <w:tcPr>
            <w:tcW w:type="dxa" w:w="1900"/>
          </w:tcPr>
          <w:p>
            <w:pPr>
              <w:spacing w:before="0" w:after="0" w:line="264" w:lineRule="auto"/>
              <w:jc w:val="left"/>
            </w:pPr>
            <w:r>
              <w:rPr>
                <w:rFonts w:ascii="Calibri" w:hAnsi="Calibri"/>
                <w:b w:val="0"/>
                <w:i w:val="0"/>
                <w:color w:val="000000"/>
                <w:sz w:val="18"/>
              </w:rPr>
              <w:t>pulse_indices</w:t>
            </w:r>
          </w:p>
        </w:tc>
        <w:tc>
          <w:tcPr>
            <w:tcW w:type="dxa" w:w="7460"/>
          </w:tcPr>
          <w:p>
            <w:pPr>
              <w:spacing w:before="0" w:after="0" w:line="264" w:lineRule="auto"/>
              <w:jc w:val="left"/>
            </w:pPr>
            <w:r>
              <w:rPr>
                <w:rFonts w:ascii="Calibri" w:hAnsi="Calibri"/>
                <w:b w:val="0"/>
                <w:i w:val="0"/>
                <w:color w:val="000000"/>
                <w:sz w:val="18"/>
              </w:rPr>
              <w:t>Indice UFSS de chaque pulse.</w:t>
            </w:r>
          </w:p>
        </w:tc>
      </w:tr>
      <w:tr>
        <w:tc>
          <w:tcPr>
            <w:tcW w:type="dxa" w:w="1900"/>
          </w:tcPr>
          <w:p>
            <w:pPr>
              <w:spacing w:before="0" w:after="0" w:line="264" w:lineRule="auto"/>
              <w:jc w:val="left"/>
            </w:pPr>
            <w:r>
              <w:rPr>
                <w:rFonts w:ascii="Calibri" w:hAnsi="Calibri"/>
                <w:b w:val="0"/>
                <w:i w:val="0"/>
                <w:color w:val="000000"/>
                <w:sz w:val="18"/>
              </w:rPr>
              <w:t>component</w:t>
            </w:r>
          </w:p>
        </w:tc>
        <w:tc>
          <w:tcPr>
            <w:tcW w:type="dxa" w:w="7460"/>
          </w:tcPr>
          <w:p>
            <w:pPr>
              <w:spacing w:before="0" w:after="0" w:line="264" w:lineRule="auto"/>
              <w:jc w:val="left"/>
            </w:pPr>
            <w:r>
              <w:rPr>
                <w:rFonts w:ascii="Calibri" w:hAnsi="Calibri"/>
                <w:b w:val="0"/>
                <w:i w:val="0"/>
                <w:color w:val="000000"/>
                <w:sz w:val="18"/>
              </w:rPr>
              <w:t>rephasing, unrephasing ou custom.</w:t>
            </w:r>
          </w:p>
        </w:tc>
      </w:tr>
      <w:tr>
        <w:tc>
          <w:tcPr>
            <w:tcW w:type="dxa" w:w="1900"/>
          </w:tcPr>
          <w:p>
            <w:pPr>
              <w:spacing w:before="0" w:after="0" w:line="264" w:lineRule="auto"/>
              <w:jc w:val="left"/>
            </w:pPr>
            <w:r>
              <w:rPr>
                <w:rFonts w:ascii="Calibri" w:hAnsi="Calibri"/>
                <w:b w:val="0"/>
                <w:i w:val="0"/>
                <w:color w:val="000000"/>
                <w:sz w:val="18"/>
              </w:rPr>
              <w:t>amplitude</w:t>
            </w:r>
          </w:p>
        </w:tc>
        <w:tc>
          <w:tcPr>
            <w:tcW w:type="dxa" w:w="7460"/>
          </w:tcPr>
          <w:p>
            <w:pPr>
              <w:spacing w:before="0" w:after="0" w:line="264" w:lineRule="auto"/>
              <w:jc w:val="left"/>
            </w:pPr>
            <w:r>
              <w:rPr>
                <w:rFonts w:ascii="Calibri" w:hAnsi="Calibri"/>
                <w:b w:val="0"/>
                <w:i w:val="0"/>
                <w:color w:val="000000"/>
                <w:sz w:val="18"/>
              </w:rPr>
              <w:t>Facteur complexe défini par l'utilisateur.</w:t>
            </w:r>
          </w:p>
        </w:tc>
      </w:tr>
      <w:tr>
        <w:tc>
          <w:tcPr>
            <w:tcW w:type="dxa" w:w="1900"/>
          </w:tcPr>
          <w:p>
            <w:pPr>
              <w:spacing w:before="0" w:after="0" w:line="264" w:lineRule="auto"/>
              <w:jc w:val="left"/>
            </w:pPr>
            <w:r>
              <w:rPr>
                <w:rFonts w:ascii="Calibri" w:hAnsi="Calibri"/>
                <w:b w:val="0"/>
                <w:i w:val="0"/>
                <w:color w:val="000000"/>
                <w:sz w:val="18"/>
              </w:rPr>
              <w:t>bra_sign</w:t>
            </w:r>
          </w:p>
        </w:tc>
        <w:tc>
          <w:tcPr>
            <w:tcW w:type="dxa" w:w="7460"/>
          </w:tcPr>
          <w:p>
            <w:pPr>
              <w:spacing w:before="0" w:after="0" w:line="264" w:lineRule="auto"/>
              <w:jc w:val="left"/>
            </w:pPr>
            <w:r>
              <w:rPr>
                <w:rFonts w:ascii="Calibri" w:hAnsi="Calibri"/>
                <w:b w:val="0"/>
                <w:i w:val="0"/>
                <w:color w:val="000000"/>
                <w:sz w:val="18"/>
              </w:rPr>
              <w:t>(-1)^(nombre d'interactions sur le bra).</w:t>
            </w:r>
          </w:p>
        </w:tc>
      </w:tr>
      <w:tr>
        <w:tc>
          <w:tcPr>
            <w:tcW w:type="dxa" w:w="1900"/>
          </w:tcPr>
          <w:p>
            <w:pPr>
              <w:spacing w:before="0" w:after="0" w:line="264" w:lineRule="auto"/>
              <w:jc w:val="left"/>
            </w:pPr>
            <w:r>
              <w:rPr>
                <w:rFonts w:ascii="Calibri" w:hAnsi="Calibri"/>
                <w:b w:val="0"/>
                <w:i w:val="0"/>
                <w:color w:val="000000"/>
                <w:sz w:val="18"/>
              </w:rPr>
              <w:t>coefficient</w:t>
            </w:r>
          </w:p>
        </w:tc>
        <w:tc>
          <w:tcPr>
            <w:tcW w:type="dxa" w:w="7460"/>
          </w:tcPr>
          <w:p>
            <w:pPr>
              <w:spacing w:before="0" w:after="0" w:line="264" w:lineRule="auto"/>
              <w:jc w:val="center"/>
            </w:pPr>
            <w:r>
              <w:rPr>
                <w:rFonts w:ascii="Calibri" w:hAnsi="Calibri"/>
                <w:b w:val="0"/>
                <w:i w:val="0"/>
                <w:color w:val="000000"/>
                <w:sz w:val="18"/>
              </w:rPr>
              <w:t>amplitude x bra_sign.</w:t>
            </w:r>
          </w:p>
        </w:tc>
      </w:tr>
    </w:tbl>
    <w:p>
      <w:pPr>
        <w:spacing w:before="0" w:after="40" w:line="300" w:lineRule="auto"/>
      </w:pPr>
    </w:p>
    <w:p>
      <w:pPr>
        <w:pStyle w:val="Heading2"/>
      </w:pPr>
      <w:r>
        <w:t>3.2 Les trois fonctions worker</w:t>
      </w:r>
    </w:p>
    <w:p>
      <w:pPr>
        <w:spacing w:before="0" w:after="120" w:line="300" w:lineRule="auto"/>
      </w:pPr>
      <w:r>
        <w:rPr>
          <w:rFonts w:ascii="Calibri" w:hAnsi="Calibri"/>
          <w:b w:val="0"/>
          <w:i w:val="0"/>
          <w:color w:val="000000"/>
          <w:sz w:val="22"/>
        </w:rPr>
        <w:t>_init_process_solver, _calc_w3_block_process et _calc_w3_block_joblib sont placées au niveau du module parce que les processus Python doivent pouvoir sérialiser et retrouver leur point d'entrée. Elles ne font pas partie de l'API scientifique.</w:t>
      </w:r>
    </w:p>
    <w:p>
      <w:pPr>
        <w:numPr>
          <w:ilvl w:val="0"/>
          <w:numId w:val="10"/>
        </w:numPr>
      </w:pPr>
      <w:r>
        <w:rPr>
          <w:rFonts w:ascii="Calibri" w:hAnsi="Calibri"/>
          <w:b w:val="0"/>
          <w:i w:val="0"/>
          <w:color w:val="000000"/>
          <w:sz w:val="21"/>
        </w:rPr>
        <w:t>_init_process_solver(solver) stocke une copie du solver dans la variable globale du processus enfant.</w:t>
      </w:r>
    </w:p>
    <w:p>
      <w:pPr>
        <w:numPr>
          <w:ilvl w:val="0"/>
          <w:numId w:val="10"/>
        </w:numPr>
      </w:pPr>
      <w:r>
        <w:rPr>
          <w:rFonts w:ascii="Calibri" w:hAnsi="Calibri"/>
          <w:b w:val="0"/>
          <w:i w:val="0"/>
          <w:color w:val="000000"/>
          <w:sz w:val="21"/>
        </w:rPr>
        <w:t>_calc_w3_block_process(...) récupère cette copie locale et calcule un bloc de colonnes.</w:t>
      </w:r>
    </w:p>
    <w:p>
      <w:pPr>
        <w:numPr>
          <w:ilvl w:val="0"/>
          <w:numId w:val="10"/>
        </w:numPr>
      </w:pPr>
      <w:r>
        <w:rPr>
          <w:rFonts w:ascii="Calibri" w:hAnsi="Calibri"/>
          <w:b w:val="0"/>
          <w:i w:val="0"/>
          <w:color w:val="000000"/>
          <w:sz w:val="21"/>
        </w:rPr>
        <w:t>_calc_w3_block_joblib(...) est l'adaptateur utilisé par les backends joblib basés sur des processus.</w:t>
      </w:r>
    </w:p>
    <w:p>
      <w:pPr>
        <w:pStyle w:val="Heading1"/>
      </w:pPr>
      <w:r>
        <w:t>4. Cycle de vie d'une instance du solver</w:t>
      </w:r>
    </w:p>
    <w:p>
      <w:pPr>
        <w:numPr>
          <w:ilvl w:val="0"/>
          <w:numId w:val="14"/>
        </w:numPr>
      </w:pPr>
      <w:r>
        <w:rPr>
          <w:rFonts w:ascii="Calibri" w:hAnsi="Calibri"/>
          <w:b/>
          <w:i w:val="0"/>
          <w:color w:val="0B2545"/>
          <w:sz w:val="21"/>
        </w:rPr>
        <w:t>Construction</w:t>
      </w:r>
      <w:r>
        <w:rPr>
          <w:rFonts w:ascii="Calibri" w:hAnsi="Calibri"/>
          <w:b w:val="0"/>
          <w:i w:val="0"/>
          <w:color w:val="000000"/>
          <w:sz w:val="21"/>
        </w:rPr>
        <w:t xml:space="preserve"> — LiouvilleSpectroscopySolver(params) enregistre les options, mais aucun modèle n'est encore chargé.</w:t>
      </w:r>
    </w:p>
    <w:p>
      <w:pPr>
        <w:numPr>
          <w:ilvl w:val="0"/>
          <w:numId w:val="15"/>
        </w:numPr>
      </w:pPr>
      <w:r>
        <w:rPr>
          <w:rFonts w:ascii="Calibri" w:hAnsi="Calibri"/>
          <w:b/>
          <w:i w:val="0"/>
          <w:color w:val="0B2545"/>
          <w:sz w:val="21"/>
        </w:rPr>
        <w:t>Chargement</w:t>
      </w:r>
      <w:r>
        <w:rPr>
          <w:rFonts w:ascii="Calibri" w:hAnsi="Calibri"/>
          <w:b w:val="0"/>
          <w:i w:val="0"/>
          <w:color w:val="000000"/>
          <w:sz w:val="21"/>
        </w:rPr>
        <w:t xml:space="preserve"> — feed_model(...) diagonalise H(k), projette les opérateurs et construit le backend.</w:t>
      </w:r>
    </w:p>
    <w:p>
      <w:pPr>
        <w:numPr>
          <w:ilvl w:val="0"/>
          <w:numId w:val="16"/>
        </w:numPr>
      </w:pPr>
      <w:r>
        <w:rPr>
          <w:rFonts w:ascii="Calibri" w:hAnsi="Calibri"/>
          <w:b/>
          <w:i w:val="0"/>
          <w:color w:val="0B2545"/>
          <w:sz w:val="21"/>
        </w:rPr>
        <w:t>Dissipation</w:t>
      </w:r>
      <w:r>
        <w:rPr>
          <w:rFonts w:ascii="Calibri" w:hAnsi="Calibri"/>
          <w:b w:val="0"/>
          <w:i w:val="0"/>
          <w:color w:val="000000"/>
          <w:sz w:val="21"/>
        </w:rPr>
        <w:t xml:space="preserve"> — set_dissipation(...) remplace les canaux Lindblad et reconstruit le backend.</w:t>
      </w:r>
    </w:p>
    <w:p>
      <w:pPr>
        <w:numPr>
          <w:ilvl w:val="0"/>
          <w:numId w:val="17"/>
        </w:numPr>
      </w:pPr>
      <w:r>
        <w:rPr>
          <w:rFonts w:ascii="Calibri" w:hAnsi="Calibri"/>
          <w:b/>
          <w:i w:val="0"/>
          <w:color w:val="0B2545"/>
          <w:sz w:val="21"/>
        </w:rPr>
        <w:t>État initial</w:t>
      </w:r>
      <w:r>
        <w:rPr>
          <w:rFonts w:ascii="Calibri" w:hAnsi="Calibri"/>
          <w:b w:val="0"/>
          <w:i w:val="0"/>
          <w:color w:val="000000"/>
          <w:sz w:val="21"/>
        </w:rPr>
        <w:t xml:space="preserve"> — set_initial_density_matrix(...) peut remplacer rho sans reconstruire le Liouvillien.</w:t>
      </w:r>
    </w:p>
    <w:p>
      <w:pPr>
        <w:numPr>
          <w:ilvl w:val="0"/>
          <w:numId w:val="18"/>
        </w:numPr>
      </w:pPr>
      <w:r>
        <w:rPr>
          <w:rFonts w:ascii="Calibri" w:hAnsi="Calibri"/>
          <w:b/>
          <w:i w:val="0"/>
          <w:color w:val="0B2545"/>
          <w:sz w:val="21"/>
        </w:rPr>
        <w:t>Pathways</w:t>
      </w:r>
      <w:r>
        <w:rPr>
          <w:rFonts w:ascii="Calibri" w:hAnsi="Calibri"/>
          <w:b w:val="0"/>
          <w:i w:val="0"/>
          <w:color w:val="000000"/>
          <w:sz w:val="21"/>
        </w:rPr>
        <w:t xml:space="preserve"> — reset_pathways, set_pathways ou les fonctions UFSS définissent les diagrammes actifs.</w:t>
      </w:r>
    </w:p>
    <w:p>
      <w:pPr>
        <w:numPr>
          <w:ilvl w:val="0"/>
          <w:numId w:val="19"/>
        </w:numPr>
      </w:pPr>
      <w:r>
        <w:rPr>
          <w:rFonts w:ascii="Calibri" w:hAnsi="Calibri"/>
          <w:b/>
          <w:i w:val="0"/>
          <w:color w:val="0B2545"/>
          <w:sz w:val="21"/>
        </w:rPr>
        <w:t>Calcul</w:t>
      </w:r>
      <w:r>
        <w:rPr>
          <w:rFonts w:ascii="Calibri" w:hAnsi="Calibri"/>
          <w:b w:val="0"/>
          <w:i w:val="0"/>
          <w:color w:val="000000"/>
          <w:sz w:val="21"/>
        </w:rPr>
        <w:t xml:space="preserve"> — generate_2D_spectra ou generate_2D_pathways remplit les matrices fréquentielles.</w:t>
      </w:r>
    </w:p>
    <w:p>
      <w:pPr>
        <w:numPr>
          <w:ilvl w:val="0"/>
          <w:numId w:val="20"/>
        </w:numPr>
      </w:pPr>
      <w:r>
        <w:rPr>
          <w:rFonts w:ascii="Calibri" w:hAnsi="Calibri"/>
          <w:b/>
          <w:i w:val="0"/>
          <w:color w:val="0B2545"/>
          <w:sz w:val="21"/>
        </w:rPr>
        <w:t>Visualisation</w:t>
      </w:r>
      <w:r>
        <w:rPr>
          <w:rFonts w:ascii="Calibri" w:hAnsi="Calibri"/>
          <w:b w:val="0"/>
          <w:i w:val="0"/>
          <w:color w:val="000000"/>
          <w:sz w:val="21"/>
        </w:rPr>
        <w:t xml:space="preserve"> — SpectroscopyPlotter sélectionne real, imag ou abs et construit les figures.</w:t>
      </w:r>
    </w:p>
    <w:p>
      <w:pPr>
        <w:spacing w:before="60" w:after="160" w:line="240" w:lineRule="auto"/>
        <w:ind w:left="259" w:right="259"/>
        <w:shd w:fill="F2F4F7"/>
      </w:pPr>
      <w:r>
        <w:rPr>
          <w:rFonts w:ascii="Consolas" w:hAnsi="Consolas"/>
          <w:b w:val="0"/>
          <w:i w:val="0"/>
          <w:color w:val="0B2545"/>
          <w:sz w:val="17"/>
        </w:rPr>
        <w:t>system = LiouvilleSpectroscopySolver(params)</w:t>
      </w:r>
      <w:r>
        <w:br/>
      </w:r>
      <w:r>
        <w:rPr>
          <w:rFonts w:ascii="Consolas" w:hAnsi="Consolas"/>
          <w:b w:val="0"/>
          <w:i w:val="0"/>
          <w:color w:val="0B2545"/>
          <w:sz w:val="17"/>
        </w:rPr>
        <w:t>system.feed_model(H_raw, mu_opt, interaction_type="dipole")</w:t>
      </w:r>
      <w:r>
        <w:br/>
      </w:r>
      <w:r>
        <w:rPr>
          <w:rFonts w:ascii="Consolas" w:hAnsi="Consolas"/>
          <w:b w:val="0"/>
          <w:i w:val="0"/>
          <w:color w:val="0B2545"/>
          <w:sz w:val="17"/>
        </w:rPr>
        <w:t>system.set_dissipation(c_ops, basis="site")</w:t>
      </w:r>
      <w:r>
        <w:br/>
      </w:r>
      <w:r>
        <w:rPr>
          <w:rFonts w:ascii="Consolas" w:hAnsi="Consolas"/>
          <w:b w:val="0"/>
          <w:i w:val="0"/>
          <w:color w:val="0B2545"/>
          <w:sz w:val="17"/>
        </w:rPr>
        <w:t>system.configure_standard_2d_pathways_with_ufss([0, 100, 200, 300])</w:t>
      </w:r>
      <w:r>
        <w:br/>
      </w:r>
      <w:r>
        <w:rPr>
          <w:rFonts w:ascii="Consolas" w:hAnsi="Consolas"/>
          <w:b w:val="0"/>
          <w:i w:val="0"/>
          <w:color w:val="0B2545"/>
          <w:sz w:val="17"/>
        </w:rPr>
        <w:t>spectra = system.generate_2D_spectra(w_list, tau2=3, k_array=k_array)</w:t>
      </w:r>
    </w:p>
    <w:p>
      <w:pPr>
        <w:pStyle w:val="Heading1"/>
      </w:pPr>
      <w:r>
        <w:t>5. Paramètres et état interne</w:t>
      </w:r>
    </w:p>
    <w:p>
      <w:pPr>
        <w:pStyle w:val="Heading2"/>
      </w:pPr>
      <w:r>
        <w:t>5.1 Paramètres principaux</w:t>
      </w:r>
    </w:p>
    <w:tbl>
      <w:tblPr>
        <w:tblStyle w:val="TableGrid"/>
        <w:tblW w:type="dxa" w:w="9360"/>
        <w:jc w:val="left"/>
        <w:tblLayout w:type="fixed"/>
        <w:tblLook w:firstColumn="1" w:firstRow="1" w:lastColumn="0" w:lastRow="0" w:noHBand="0" w:noVBand="1" w:val="04A0"/>
        <w:tblInd w:w="120" w:type="dxa"/>
      </w:tblPr>
      <w:tblGrid>
        <w:gridCol w:w="2300"/>
        <w:gridCol w:w="1800"/>
        <w:gridCol w:w="5260"/>
      </w:tblGrid>
      <w:tr>
        <w:trPr>
          <w:tblHeader w:val="true"/>
        </w:trPr>
        <w:tc>
          <w:tcPr>
            <w:tcW w:type="dxa" w:w="230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7"/>
              </w:rPr>
              <w:t>Paramètre</w:t>
            </w:r>
          </w:p>
        </w:tc>
        <w:tc>
          <w:tcPr>
            <w:tcW w:type="dxa" w:w="180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7"/>
              </w:rPr>
              <w:t>Valeur typique</w:t>
            </w:r>
          </w:p>
        </w:tc>
        <w:tc>
          <w:tcPr>
            <w:tcW w:type="dxa" w:w="526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7"/>
              </w:rPr>
              <w:t>Effet</w:t>
            </w:r>
          </w:p>
        </w:tc>
      </w:tr>
      <w:tr>
        <w:tc>
          <w:tcPr>
            <w:tcW w:type="dxa" w:w="2300"/>
          </w:tcPr>
          <w:p>
            <w:pPr>
              <w:spacing w:before="0" w:after="0" w:line="264" w:lineRule="auto"/>
              <w:jc w:val="left"/>
            </w:pPr>
            <w:r>
              <w:rPr>
                <w:rFonts w:ascii="Calibri" w:hAnsi="Calibri"/>
                <w:b w:val="0"/>
                <w:i w:val="0"/>
                <w:color w:val="000000"/>
                <w:sz w:val="17"/>
              </w:rPr>
              <w:t>Eta</w:t>
            </w:r>
          </w:p>
        </w:tc>
        <w:tc>
          <w:tcPr>
            <w:tcW w:type="dxa" w:w="1800"/>
          </w:tcPr>
          <w:p>
            <w:pPr>
              <w:spacing w:before="0" w:after="0" w:line="264" w:lineRule="auto"/>
              <w:jc w:val="center"/>
            </w:pPr>
            <w:r>
              <w:rPr>
                <w:rFonts w:ascii="Calibri" w:hAnsi="Calibri"/>
                <w:b w:val="0"/>
                <w:i w:val="0"/>
                <w:color w:val="000000"/>
                <w:sz w:val="17"/>
              </w:rPr>
              <w:t>0.05 à 0.1</w:t>
            </w:r>
          </w:p>
        </w:tc>
        <w:tc>
          <w:tcPr>
            <w:tcW w:type="dxa" w:w="5260"/>
          </w:tcPr>
          <w:p>
            <w:pPr>
              <w:spacing w:before="0" w:after="0" w:line="264" w:lineRule="auto"/>
              <w:jc w:val="left"/>
            </w:pPr>
            <w:r>
              <w:rPr>
                <w:rFonts w:ascii="Calibri" w:hAnsi="Calibri"/>
                <w:b w:val="0"/>
                <w:i w:val="0"/>
                <w:color w:val="000000"/>
                <w:sz w:val="17"/>
              </w:rPr>
              <w:t>Élargissement imaginaire des résolvants.</w:t>
            </w:r>
          </w:p>
        </w:tc>
      </w:tr>
      <w:tr>
        <w:tc>
          <w:tcPr>
            <w:tcW w:type="dxa" w:w="2300"/>
          </w:tcPr>
          <w:p>
            <w:pPr>
              <w:spacing w:before="0" w:after="0" w:line="264" w:lineRule="auto"/>
              <w:jc w:val="left"/>
            </w:pPr>
            <w:r>
              <w:rPr>
                <w:rFonts w:ascii="Calibri" w:hAnsi="Calibri"/>
                <w:b w:val="0"/>
                <w:i w:val="0"/>
                <w:color w:val="000000"/>
                <w:sz w:val="17"/>
              </w:rPr>
              <w:t>T</w:t>
            </w:r>
          </w:p>
        </w:tc>
        <w:tc>
          <w:tcPr>
            <w:tcW w:type="dxa" w:w="1800"/>
          </w:tcPr>
          <w:p>
            <w:pPr>
              <w:spacing w:before="0" w:after="0" w:line="264" w:lineRule="auto"/>
              <w:jc w:val="center"/>
            </w:pPr>
            <w:r>
              <w:rPr>
                <w:rFonts w:ascii="Calibri" w:hAnsi="Calibri"/>
                <w:b w:val="0"/>
                <w:i w:val="0"/>
                <w:color w:val="000000"/>
                <w:sz w:val="17"/>
              </w:rPr>
              <w:t>température physique</w:t>
            </w:r>
          </w:p>
        </w:tc>
        <w:tc>
          <w:tcPr>
            <w:tcW w:type="dxa" w:w="5260"/>
          </w:tcPr>
          <w:p>
            <w:pPr>
              <w:spacing w:before="0" w:after="0" w:line="264" w:lineRule="auto"/>
              <w:jc w:val="left"/>
            </w:pPr>
            <w:r>
              <w:rPr>
                <w:rFonts w:ascii="Calibri" w:hAnsi="Calibri"/>
                <w:b w:val="0"/>
                <w:i w:val="0"/>
                <w:color w:val="000000"/>
                <w:sz w:val="17"/>
              </w:rPr>
              <w:t>État thermique par défaut.</w:t>
            </w:r>
          </w:p>
        </w:tc>
      </w:tr>
      <w:tr>
        <w:tc>
          <w:tcPr>
            <w:tcW w:type="dxa" w:w="2300"/>
          </w:tcPr>
          <w:p>
            <w:pPr>
              <w:spacing w:before="0" w:after="0" w:line="264" w:lineRule="auto"/>
              <w:jc w:val="left"/>
            </w:pPr>
            <w:r>
              <w:rPr>
                <w:rFonts w:ascii="Calibri" w:hAnsi="Calibri"/>
                <w:b w:val="0"/>
                <w:i w:val="0"/>
                <w:color w:val="000000"/>
                <w:sz w:val="17"/>
              </w:rPr>
              <w:t>mu</w:t>
            </w:r>
          </w:p>
        </w:tc>
        <w:tc>
          <w:tcPr>
            <w:tcW w:type="dxa" w:w="1800"/>
          </w:tcPr>
          <w:p>
            <w:pPr>
              <w:spacing w:before="0" w:after="0" w:line="264" w:lineRule="auto"/>
              <w:jc w:val="center"/>
            </w:pPr>
            <w:r>
              <w:rPr>
                <w:rFonts w:ascii="Calibri" w:hAnsi="Calibri"/>
                <w:b w:val="0"/>
                <w:i w:val="0"/>
                <w:color w:val="000000"/>
                <w:sz w:val="17"/>
              </w:rPr>
              <w:t>0.0</w:t>
            </w:r>
          </w:p>
        </w:tc>
        <w:tc>
          <w:tcPr>
            <w:tcW w:type="dxa" w:w="5260"/>
          </w:tcPr>
          <w:p>
            <w:pPr>
              <w:spacing w:before="0" w:after="0" w:line="264" w:lineRule="auto"/>
              <w:jc w:val="left"/>
            </w:pPr>
            <w:r>
              <w:rPr>
                <w:rFonts w:ascii="Calibri" w:hAnsi="Calibri"/>
                <w:b w:val="0"/>
                <w:i w:val="0"/>
                <w:color w:val="000000"/>
                <w:sz w:val="17"/>
              </w:rPr>
              <w:t>Décalage utilisé dans _get_thermal_state.</w:t>
            </w:r>
          </w:p>
        </w:tc>
      </w:tr>
      <w:tr>
        <w:tc>
          <w:tcPr>
            <w:tcW w:type="dxa" w:w="2300"/>
          </w:tcPr>
          <w:p>
            <w:pPr>
              <w:spacing w:before="0" w:after="0" w:line="264" w:lineRule="auto"/>
              <w:jc w:val="left"/>
            </w:pPr>
            <w:r>
              <w:rPr>
                <w:rFonts w:ascii="Calibri" w:hAnsi="Calibri"/>
                <w:b w:val="0"/>
                <w:i w:val="0"/>
                <w:color w:val="000000"/>
                <w:sz w:val="17"/>
              </w:rPr>
              <w:t>rwa_tol</w:t>
            </w:r>
          </w:p>
        </w:tc>
        <w:tc>
          <w:tcPr>
            <w:tcW w:type="dxa" w:w="1800"/>
          </w:tcPr>
          <w:p>
            <w:pPr>
              <w:spacing w:before="0" w:after="0" w:line="264" w:lineRule="auto"/>
              <w:jc w:val="center"/>
            </w:pPr>
            <w:r>
              <w:rPr>
                <w:rFonts w:ascii="Calibri" w:hAnsi="Calibri"/>
                <w:b w:val="0"/>
                <w:i w:val="0"/>
                <w:color w:val="000000"/>
                <w:sz w:val="17"/>
              </w:rPr>
              <w:t>1e-6</w:t>
            </w:r>
          </w:p>
        </w:tc>
        <w:tc>
          <w:tcPr>
            <w:tcW w:type="dxa" w:w="5260"/>
          </w:tcPr>
          <w:p>
            <w:pPr>
              <w:spacing w:before="0" w:after="0" w:line="264" w:lineRule="auto"/>
              <w:jc w:val="left"/>
            </w:pPr>
            <w:r>
              <w:rPr>
                <w:rFonts w:ascii="Calibri" w:hAnsi="Calibri"/>
                <w:b w:val="0"/>
                <w:i w:val="0"/>
                <w:color w:val="000000"/>
                <w:sz w:val="17"/>
              </w:rPr>
              <w:t>Séparation de J+ et J- pour un dipôle.</w:t>
            </w:r>
          </w:p>
        </w:tc>
      </w:tr>
      <w:tr>
        <w:tc>
          <w:tcPr>
            <w:tcW w:type="dxa" w:w="2300"/>
          </w:tcPr>
          <w:p>
            <w:pPr>
              <w:spacing w:before="0" w:after="0" w:line="264" w:lineRule="auto"/>
              <w:jc w:val="left"/>
            </w:pPr>
            <w:r>
              <w:rPr>
                <w:rFonts w:ascii="Calibri" w:hAnsi="Calibri"/>
                <w:b w:val="0"/>
                <w:i w:val="0"/>
                <w:color w:val="000000"/>
                <w:sz w:val="17"/>
              </w:rPr>
              <w:t>backend</w:t>
            </w:r>
          </w:p>
        </w:tc>
        <w:tc>
          <w:tcPr>
            <w:tcW w:type="dxa" w:w="1800"/>
          </w:tcPr>
          <w:p>
            <w:pPr>
              <w:spacing w:before="0" w:after="0" w:line="264" w:lineRule="auto"/>
              <w:jc w:val="center"/>
            </w:pPr>
            <w:r>
              <w:rPr>
                <w:rFonts w:ascii="Calibri" w:hAnsi="Calibri"/>
                <w:b w:val="0"/>
                <w:i w:val="0"/>
                <w:color w:val="000000"/>
                <w:sz w:val="17"/>
              </w:rPr>
              <w:t>auto</w:t>
            </w:r>
          </w:p>
        </w:tc>
        <w:tc>
          <w:tcPr>
            <w:tcW w:type="dxa" w:w="5260"/>
          </w:tcPr>
          <w:p>
            <w:pPr>
              <w:spacing w:before="0" w:after="0" w:line="264" w:lineRule="auto"/>
              <w:jc w:val="left"/>
            </w:pPr>
            <w:r>
              <w:rPr>
                <w:rFonts w:ascii="Calibri" w:hAnsi="Calibri"/>
                <w:b w:val="0"/>
                <w:i w:val="0"/>
                <w:color w:val="000000"/>
                <w:sz w:val="17"/>
              </w:rPr>
              <w:t>dense, sparse ou sélection automatique.</w:t>
            </w:r>
          </w:p>
        </w:tc>
      </w:tr>
      <w:tr>
        <w:tc>
          <w:tcPr>
            <w:tcW w:type="dxa" w:w="2300"/>
          </w:tcPr>
          <w:p>
            <w:pPr>
              <w:spacing w:before="0" w:after="0" w:line="264" w:lineRule="auto"/>
              <w:jc w:val="left"/>
            </w:pPr>
            <w:r>
              <w:rPr>
                <w:rFonts w:ascii="Calibri" w:hAnsi="Calibri"/>
                <w:b w:val="0"/>
                <w:i w:val="0"/>
                <w:color w:val="000000"/>
                <w:sz w:val="17"/>
              </w:rPr>
              <w:t>dense_liouville_cutoff</w:t>
            </w:r>
          </w:p>
        </w:tc>
        <w:tc>
          <w:tcPr>
            <w:tcW w:type="dxa" w:w="1800"/>
          </w:tcPr>
          <w:p>
            <w:pPr>
              <w:spacing w:before="0" w:after="0" w:line="264" w:lineRule="auto"/>
              <w:jc w:val="center"/>
            </w:pPr>
            <w:r>
              <w:rPr>
                <w:rFonts w:ascii="Calibri" w:hAnsi="Calibri"/>
                <w:b w:val="0"/>
                <w:i w:val="0"/>
                <w:color w:val="000000"/>
                <w:sz w:val="17"/>
              </w:rPr>
              <w:t>512</w:t>
            </w:r>
          </w:p>
        </w:tc>
        <w:tc>
          <w:tcPr>
            <w:tcW w:type="dxa" w:w="5260"/>
          </w:tcPr>
          <w:p>
            <w:pPr>
              <w:spacing w:before="0" w:after="0" w:line="264" w:lineRule="auto"/>
              <w:jc w:val="center"/>
            </w:pPr>
            <w:r>
              <w:rPr>
                <w:rFonts w:ascii="Calibri" w:hAnsi="Calibri"/>
                <w:b w:val="0"/>
                <w:i w:val="0"/>
                <w:color w:val="000000"/>
                <w:sz w:val="17"/>
              </w:rPr>
              <w:t>Seuil appliqué à d^2.</w:t>
            </w:r>
          </w:p>
        </w:tc>
      </w:tr>
      <w:tr>
        <w:tc>
          <w:tcPr>
            <w:tcW w:type="dxa" w:w="2300"/>
          </w:tcPr>
          <w:p>
            <w:pPr>
              <w:spacing w:before="0" w:after="0" w:line="264" w:lineRule="auto"/>
              <w:jc w:val="left"/>
            </w:pPr>
            <w:r>
              <w:rPr>
                <w:rFonts w:ascii="Calibri" w:hAnsi="Calibri"/>
                <w:b w:val="0"/>
                <w:i w:val="0"/>
                <w:color w:val="000000"/>
                <w:sz w:val="17"/>
              </w:rPr>
              <w:t>sparse_solver</w:t>
            </w:r>
          </w:p>
        </w:tc>
        <w:tc>
          <w:tcPr>
            <w:tcW w:type="dxa" w:w="1800"/>
          </w:tcPr>
          <w:p>
            <w:pPr>
              <w:spacing w:before="0" w:after="0" w:line="264" w:lineRule="auto"/>
              <w:jc w:val="center"/>
            </w:pPr>
            <w:r>
              <w:rPr>
                <w:rFonts w:ascii="Calibri" w:hAnsi="Calibri"/>
                <w:b w:val="0"/>
                <w:i w:val="0"/>
                <w:color w:val="000000"/>
                <w:sz w:val="17"/>
              </w:rPr>
              <w:t>auto</w:t>
            </w:r>
          </w:p>
        </w:tc>
        <w:tc>
          <w:tcPr>
            <w:tcW w:type="dxa" w:w="5260"/>
          </w:tcPr>
          <w:p>
            <w:pPr>
              <w:spacing w:before="0" w:after="0" w:line="264" w:lineRule="auto"/>
              <w:jc w:val="center"/>
            </w:pPr>
            <w:r>
              <w:rPr>
                <w:rFonts w:ascii="Calibri" w:hAnsi="Calibri"/>
                <w:b w:val="0"/>
                <w:i w:val="0"/>
                <w:color w:val="000000"/>
                <w:sz w:val="17"/>
              </w:rPr>
              <w:t>direct ou GMRES.</w:t>
            </w:r>
          </w:p>
        </w:tc>
      </w:tr>
      <w:tr>
        <w:tc>
          <w:tcPr>
            <w:tcW w:type="dxa" w:w="2300"/>
          </w:tcPr>
          <w:p>
            <w:pPr>
              <w:spacing w:before="0" w:after="0" w:line="264" w:lineRule="auto"/>
              <w:jc w:val="left"/>
            </w:pPr>
            <w:r>
              <w:rPr>
                <w:rFonts w:ascii="Calibri" w:hAnsi="Calibri"/>
                <w:b w:val="0"/>
                <w:i w:val="0"/>
                <w:color w:val="000000"/>
                <w:sz w:val="17"/>
              </w:rPr>
              <w:t>cache_resolvents</w:t>
            </w:r>
          </w:p>
        </w:tc>
        <w:tc>
          <w:tcPr>
            <w:tcW w:type="dxa" w:w="1800"/>
          </w:tcPr>
          <w:p>
            <w:pPr>
              <w:spacing w:before="0" w:after="0" w:line="264" w:lineRule="auto"/>
              <w:jc w:val="center"/>
            </w:pPr>
            <w:r>
              <w:rPr>
                <w:rFonts w:ascii="Calibri" w:hAnsi="Calibri"/>
                <w:b w:val="0"/>
                <w:i w:val="0"/>
                <w:color w:val="000000"/>
                <w:sz w:val="17"/>
              </w:rPr>
              <w:t>True</w:t>
            </w:r>
          </w:p>
        </w:tc>
        <w:tc>
          <w:tcPr>
            <w:tcW w:type="dxa" w:w="5260"/>
          </w:tcPr>
          <w:p>
            <w:pPr>
              <w:spacing w:before="0" w:after="0" w:line="264" w:lineRule="auto"/>
              <w:jc w:val="left"/>
            </w:pPr>
            <w:r>
              <w:rPr>
                <w:rFonts w:ascii="Calibri" w:hAnsi="Calibri"/>
                <w:b w:val="0"/>
                <w:i w:val="0"/>
                <w:color w:val="000000"/>
                <w:sz w:val="17"/>
              </w:rPr>
              <w:t>Conserve les factorisations sparse.</w:t>
            </w:r>
          </w:p>
        </w:tc>
      </w:tr>
      <w:tr>
        <w:tc>
          <w:tcPr>
            <w:tcW w:type="dxa" w:w="2300"/>
          </w:tcPr>
          <w:p>
            <w:pPr>
              <w:spacing w:before="0" w:after="0" w:line="264" w:lineRule="auto"/>
              <w:jc w:val="left"/>
            </w:pPr>
            <w:r>
              <w:rPr>
                <w:rFonts w:ascii="Calibri" w:hAnsi="Calibri"/>
                <w:b w:val="0"/>
                <w:i w:val="0"/>
                <w:color w:val="000000"/>
                <w:sz w:val="17"/>
              </w:rPr>
              <w:t>cache_sparse_tau2</w:t>
            </w:r>
          </w:p>
        </w:tc>
        <w:tc>
          <w:tcPr>
            <w:tcW w:type="dxa" w:w="1800"/>
          </w:tcPr>
          <w:p>
            <w:pPr>
              <w:spacing w:before="0" w:after="0" w:line="264" w:lineRule="auto"/>
              <w:jc w:val="center"/>
            </w:pPr>
            <w:r>
              <w:rPr>
                <w:rFonts w:ascii="Calibri" w:hAnsi="Calibri"/>
                <w:b w:val="0"/>
                <w:i w:val="0"/>
                <w:color w:val="000000"/>
                <w:sz w:val="17"/>
              </w:rPr>
              <w:t>False</w:t>
            </w:r>
          </w:p>
        </w:tc>
        <w:tc>
          <w:tcPr>
            <w:tcW w:type="dxa" w:w="5260"/>
          </w:tcPr>
          <w:p>
            <w:pPr>
              <w:spacing w:before="0" w:after="0" w:line="264" w:lineRule="auto"/>
              <w:jc w:val="left"/>
            </w:pPr>
            <w:r>
              <w:rPr>
                <w:rFonts w:ascii="Calibri" w:hAnsi="Calibri"/>
                <w:b w:val="0"/>
                <w:i w:val="0"/>
                <w:color w:val="000000"/>
                <w:sz w:val="17"/>
              </w:rPr>
              <w:t>Conserve exp(-i L tau2) en sparse.</w:t>
            </w:r>
          </w:p>
        </w:tc>
      </w:tr>
      <w:tr>
        <w:tc>
          <w:tcPr>
            <w:tcW w:type="dxa" w:w="2300"/>
          </w:tcPr>
          <w:p>
            <w:pPr>
              <w:spacing w:before="0" w:after="0" w:line="264" w:lineRule="auto"/>
              <w:jc w:val="left"/>
            </w:pPr>
            <w:r>
              <w:rPr>
                <w:rFonts w:ascii="Calibri" w:hAnsi="Calibri"/>
                <w:b w:val="0"/>
                <w:i w:val="0"/>
                <w:color w:val="000000"/>
                <w:sz w:val="17"/>
              </w:rPr>
              <w:t>parallel_backend</w:t>
            </w:r>
          </w:p>
        </w:tc>
        <w:tc>
          <w:tcPr>
            <w:tcW w:type="dxa" w:w="1800"/>
          </w:tcPr>
          <w:p>
            <w:pPr>
              <w:spacing w:before="0" w:after="0" w:line="264" w:lineRule="auto"/>
              <w:jc w:val="center"/>
            </w:pPr>
            <w:r>
              <w:rPr>
                <w:rFonts w:ascii="Calibri" w:hAnsi="Calibri"/>
                <w:b w:val="0"/>
                <w:i w:val="0"/>
                <w:color w:val="000000"/>
                <w:sz w:val="17"/>
              </w:rPr>
              <w:t>threading</w:t>
            </w:r>
          </w:p>
        </w:tc>
        <w:tc>
          <w:tcPr>
            <w:tcW w:type="dxa" w:w="5260"/>
          </w:tcPr>
          <w:p>
            <w:pPr>
              <w:spacing w:before="0" w:after="0" w:line="264" w:lineRule="auto"/>
              <w:jc w:val="left"/>
            </w:pPr>
            <w:r>
              <w:rPr>
                <w:rFonts w:ascii="Calibri" w:hAnsi="Calibri"/>
                <w:b w:val="0"/>
                <w:i w:val="0"/>
                <w:color w:val="000000"/>
                <w:sz w:val="17"/>
              </w:rPr>
              <w:t>Mode d'exécution du scan générique.</w:t>
            </w:r>
          </w:p>
        </w:tc>
      </w:tr>
      <w:tr>
        <w:tc>
          <w:tcPr>
            <w:tcW w:type="dxa" w:w="2300"/>
          </w:tcPr>
          <w:p>
            <w:pPr>
              <w:spacing w:before="0" w:after="0" w:line="264" w:lineRule="auto"/>
              <w:jc w:val="left"/>
            </w:pPr>
            <w:r>
              <w:rPr>
                <w:rFonts w:ascii="Calibri" w:hAnsi="Calibri"/>
                <w:b w:val="0"/>
                <w:i w:val="0"/>
                <w:color w:val="000000"/>
                <w:sz w:val="17"/>
              </w:rPr>
              <w:t>n_jobs</w:t>
            </w:r>
          </w:p>
        </w:tc>
        <w:tc>
          <w:tcPr>
            <w:tcW w:type="dxa" w:w="1800"/>
          </w:tcPr>
          <w:p>
            <w:pPr>
              <w:spacing w:before="0" w:after="0" w:line="264" w:lineRule="auto"/>
              <w:jc w:val="center"/>
            </w:pPr>
            <w:r>
              <w:rPr>
                <w:rFonts w:ascii="Calibri" w:hAnsi="Calibri"/>
                <w:b w:val="0"/>
                <w:i w:val="0"/>
                <w:color w:val="000000"/>
                <w:sz w:val="17"/>
              </w:rPr>
              <w:t>-1</w:t>
            </w:r>
          </w:p>
        </w:tc>
        <w:tc>
          <w:tcPr>
            <w:tcW w:type="dxa" w:w="5260"/>
          </w:tcPr>
          <w:p>
            <w:pPr>
              <w:spacing w:before="0" w:after="0" w:line="264" w:lineRule="auto"/>
              <w:jc w:val="left"/>
            </w:pPr>
            <w:r>
              <w:rPr>
                <w:rFonts w:ascii="Calibri" w:hAnsi="Calibri"/>
                <w:b w:val="0"/>
                <w:i w:val="0"/>
                <w:color w:val="000000"/>
                <w:sz w:val="17"/>
              </w:rPr>
              <w:t>Nombre de workers selon la convention joblib.</w:t>
            </w:r>
          </w:p>
        </w:tc>
      </w:tr>
      <w:tr>
        <w:tc>
          <w:tcPr>
            <w:tcW w:type="dxa" w:w="2300"/>
          </w:tcPr>
          <w:p>
            <w:pPr>
              <w:spacing w:before="0" w:after="0" w:line="264" w:lineRule="auto"/>
              <w:jc w:val="left"/>
            </w:pPr>
            <w:r>
              <w:rPr>
                <w:rFonts w:ascii="Calibri" w:hAnsi="Calibri"/>
                <w:b w:val="0"/>
                <w:i w:val="0"/>
                <w:color w:val="000000"/>
                <w:sz w:val="17"/>
              </w:rPr>
              <w:t>blas_threads</w:t>
            </w:r>
          </w:p>
        </w:tc>
        <w:tc>
          <w:tcPr>
            <w:tcW w:type="dxa" w:w="1800"/>
          </w:tcPr>
          <w:p>
            <w:pPr>
              <w:spacing w:before="0" w:after="0" w:line="264" w:lineRule="auto"/>
              <w:jc w:val="center"/>
            </w:pPr>
            <w:r>
              <w:rPr>
                <w:rFonts w:ascii="Calibri" w:hAnsi="Calibri"/>
                <w:b w:val="0"/>
                <w:i w:val="0"/>
                <w:color w:val="000000"/>
                <w:sz w:val="17"/>
              </w:rPr>
              <w:t>1 ou None</w:t>
            </w:r>
          </w:p>
        </w:tc>
        <w:tc>
          <w:tcPr>
            <w:tcW w:type="dxa" w:w="5260"/>
          </w:tcPr>
          <w:p>
            <w:pPr>
              <w:spacing w:before="0" w:after="0" w:line="264" w:lineRule="auto"/>
              <w:jc w:val="left"/>
            </w:pPr>
            <w:r>
              <w:rPr>
                <w:rFonts w:ascii="Calibri" w:hAnsi="Calibri"/>
                <w:b w:val="0"/>
                <w:i w:val="0"/>
                <w:color w:val="000000"/>
                <w:sz w:val="17"/>
              </w:rPr>
              <w:t>Limite les threads internes de BLAS.</w:t>
            </w:r>
          </w:p>
        </w:tc>
      </w:tr>
      <w:tr>
        <w:tc>
          <w:tcPr>
            <w:tcW w:type="dxa" w:w="2300"/>
          </w:tcPr>
          <w:p>
            <w:pPr>
              <w:spacing w:before="0" w:after="0" w:line="264" w:lineRule="auto"/>
              <w:jc w:val="left"/>
            </w:pPr>
            <w:r>
              <w:rPr>
                <w:rFonts w:ascii="Calibri" w:hAnsi="Calibri"/>
                <w:b w:val="0"/>
                <w:i w:val="0"/>
                <w:color w:val="000000"/>
                <w:sz w:val="17"/>
              </w:rPr>
              <w:t>spectrum_components</w:t>
            </w:r>
          </w:p>
        </w:tc>
        <w:tc>
          <w:tcPr>
            <w:tcW w:type="dxa" w:w="1800"/>
          </w:tcPr>
          <w:p>
            <w:pPr>
              <w:spacing w:before="0" w:after="0" w:line="264" w:lineRule="auto"/>
              <w:jc w:val="center"/>
            </w:pPr>
            <w:r>
              <w:rPr>
                <w:rFonts w:ascii="Calibri" w:hAnsi="Calibri"/>
                <w:b w:val="0"/>
                <w:i w:val="0"/>
                <w:color w:val="000000"/>
                <w:sz w:val="17"/>
              </w:rPr>
              <w:t>both</w:t>
            </w:r>
          </w:p>
        </w:tc>
        <w:tc>
          <w:tcPr>
            <w:tcW w:type="dxa" w:w="5260"/>
          </w:tcPr>
          <w:p>
            <w:pPr>
              <w:spacing w:before="0" w:after="0" w:line="264" w:lineRule="auto"/>
              <w:jc w:val="left"/>
            </w:pPr>
            <w:r>
              <w:rPr>
                <w:rFonts w:ascii="Calibri" w:hAnsi="Calibri"/>
                <w:b w:val="0"/>
                <w:i w:val="0"/>
                <w:color w:val="000000"/>
                <w:sz w:val="17"/>
              </w:rPr>
              <w:t>Choix des matrices retournées.</w:t>
            </w:r>
          </w:p>
        </w:tc>
      </w:tr>
    </w:tbl>
    <w:p>
      <w:pPr>
        <w:spacing w:before="0" w:after="40" w:line="300" w:lineRule="auto"/>
      </w:pPr>
    </w:p>
    <w:p>
      <w:pPr>
        <w:pStyle w:val="Heading2"/>
      </w:pPr>
      <w:r>
        <w:t>5.2 Trois familles d'attributs internes</w:t>
      </w:r>
    </w:p>
    <w:p>
      <w:pPr>
        <w:numPr>
          <w:ilvl w:val="0"/>
          <w:numId w:val="10"/>
        </w:numPr>
      </w:pPr>
      <w:r>
        <w:rPr>
          <w:rFonts w:ascii="Calibri" w:hAnsi="Calibri"/>
          <w:b w:val="0"/>
          <w:i w:val="0"/>
          <w:color w:val="000000"/>
          <w:sz w:val="21"/>
        </w:rPr>
        <w:t>Données physiques : energies, eigenvectors, H_eigen, J_plus, J_minus, c_ops.</w:t>
      </w:r>
    </w:p>
    <w:p>
      <w:pPr>
        <w:numPr>
          <w:ilvl w:val="0"/>
          <w:numId w:val="10"/>
        </w:numPr>
      </w:pPr>
      <w:r>
        <w:rPr>
          <w:rFonts w:ascii="Calibri" w:hAnsi="Calibri"/>
          <w:b w:val="0"/>
          <w:i w:val="0"/>
          <w:color w:val="000000"/>
          <w:sz w:val="21"/>
        </w:rPr>
        <w:t>Backend dense : suffixe _dense, tableaux batchés de forme (N_k, d^2, d^2).</w:t>
      </w:r>
    </w:p>
    <w:p>
      <w:pPr>
        <w:numPr>
          <w:ilvl w:val="0"/>
          <w:numId w:val="10"/>
        </w:numPr>
      </w:pPr>
      <w:r>
        <w:rPr>
          <w:rFonts w:ascii="Calibri" w:hAnsi="Calibri"/>
          <w:b w:val="0"/>
          <w:i w:val="0"/>
          <w:color w:val="000000"/>
          <w:sz w:val="21"/>
        </w:rPr>
        <w:t>Backend sparse : listes indexées par k, suffixe _sp ou attributs sans suffixe dense.</w:t>
      </w:r>
    </w:p>
    <w:p>
      <w:pPr>
        <w:numPr>
          <w:ilvl w:val="0"/>
          <w:numId w:val="10"/>
        </w:numPr>
      </w:pPr>
      <w:r>
        <w:rPr>
          <w:rFonts w:ascii="Calibri" w:hAnsi="Calibri"/>
          <w:b w:val="0"/>
          <w:i w:val="0"/>
          <w:color w:val="000000"/>
          <w:sz w:val="21"/>
        </w:rPr>
        <w:t>Caches : OrderedDict séparés pour dense/sparse et pour fréquence/tau2.</w:t>
      </w:r>
    </w:p>
    <w:p>
      <w:pPr>
        <w:numPr>
          <w:ilvl w:val="0"/>
          <w:numId w:val="10"/>
        </w:numPr>
      </w:pPr>
      <w:r>
        <w:rPr>
          <w:rFonts w:ascii="Calibri" w:hAnsi="Calibri"/>
          <w:b w:val="0"/>
          <w:i w:val="0"/>
          <w:color w:val="000000"/>
          <w:sz w:val="21"/>
        </w:rPr>
        <w:t>Configuration V6 : _initial_density_matrix_eigen et pathways.</w:t>
      </w:r>
    </w:p>
    <w:p>
      <w:pPr>
        <w:pStyle w:val="Heading1"/>
      </w:pPr>
      <w:r>
        <w:t>6. Chargement du modèle et changements de base</w:t>
      </w:r>
    </w:p>
    <w:p>
      <w:pPr>
        <w:pStyle w:val="Heading2"/>
      </w:pPr>
      <w:r>
        <w:t>6.1 Normalisation des formes</w:t>
      </w:r>
    </w:p>
    <w:p>
      <w:pPr>
        <w:spacing w:before="0" w:after="120" w:line="300" w:lineRule="auto"/>
      </w:pPr>
      <w:r>
        <w:rPr>
          <w:rFonts w:ascii="Calibri" w:hAnsi="Calibri"/>
          <w:b w:val="0"/>
          <w:i w:val="0"/>
          <w:color w:val="000000"/>
          <w:sz w:val="22"/>
        </w:rPr>
        <w:t>_as_k_stack transforme une matrice (d,d) en pile (1,d,d). _broadcast_stack répète ensuite cette matrice si le modèle contient plusieurs points k. Toutes les entrées finissent donc avec la forme (N_k,d,d).</w:t>
      </w:r>
    </w:p>
    <w:p>
      <w:pPr>
        <w:pStyle w:val="Heading2"/>
      </w:pPr>
      <w:r>
        <w:t>6.2 Ce que fait feed_model</w:t>
      </w:r>
    </w:p>
    <w:p>
      <w:pPr>
        <w:numPr>
          <w:ilvl w:val="0"/>
          <w:numId w:val="21"/>
        </w:numPr>
      </w:pPr>
      <w:r>
        <w:rPr>
          <w:rFonts w:ascii="Calibri" w:hAnsi="Calibri"/>
          <w:b/>
          <w:i w:val="0"/>
          <w:color w:val="0B2545"/>
          <w:sz w:val="21"/>
        </w:rPr>
        <w:t>Valider les entrées</w:t>
      </w:r>
      <w:r>
        <w:rPr>
          <w:rFonts w:ascii="Calibri" w:hAnsi="Calibri"/>
          <w:b w:val="0"/>
          <w:i w:val="0"/>
          <w:color w:val="000000"/>
          <w:sz w:val="21"/>
        </w:rPr>
        <w:t xml:space="preserve"> — H, l'opérateur d'interaction et les collapse operators doivent avoir des dimensions compatibles.</w:t>
      </w:r>
    </w:p>
    <w:p>
      <w:pPr>
        <w:numPr>
          <w:ilvl w:val="0"/>
          <w:numId w:val="22"/>
        </w:numPr>
      </w:pPr>
      <w:r>
        <w:rPr>
          <w:rFonts w:ascii="Calibri" w:hAnsi="Calibri"/>
          <w:b/>
          <w:i w:val="0"/>
          <w:color w:val="0B2545"/>
          <w:sz w:val="21"/>
        </w:rPr>
        <w:t>Diagonaliser H(k)</w:t>
      </w:r>
      <w:r>
        <w:rPr>
          <w:rFonts w:ascii="Calibri" w:hAnsi="Calibri"/>
          <w:b w:val="0"/>
          <w:i w:val="0"/>
          <w:color w:val="000000"/>
          <w:sz w:val="21"/>
        </w:rPr>
        <w:t xml:space="preserve"> — np.linalg.eigh retourne les énergies triées et la matrice U des vecteurs propres.</w:t>
      </w:r>
    </w:p>
    <w:p>
      <w:pPr>
        <w:numPr>
          <w:ilvl w:val="0"/>
          <w:numId w:val="23"/>
        </w:numPr>
      </w:pPr>
      <w:r>
        <w:rPr>
          <w:rFonts w:ascii="Calibri" w:hAnsi="Calibri"/>
          <w:b/>
          <w:i w:val="0"/>
          <w:color w:val="0B2545"/>
          <w:sz w:val="21"/>
        </w:rPr>
        <w:t>Projeter les opérateurs</w:t>
      </w:r>
      <w:r>
        <w:rPr>
          <w:rFonts w:ascii="Calibri" w:hAnsi="Calibri"/>
          <w:b w:val="0"/>
          <w:i w:val="0"/>
          <w:color w:val="000000"/>
          <w:sz w:val="21"/>
        </w:rPr>
        <w:t xml:space="preserve"> — O_eigen = U† O U et C_eigen = U† C U.</w:t>
      </w:r>
    </w:p>
    <w:p>
      <w:pPr>
        <w:numPr>
          <w:ilvl w:val="0"/>
          <w:numId w:val="24"/>
        </w:numPr>
      </w:pPr>
      <w:r>
        <w:rPr>
          <w:rFonts w:ascii="Calibri" w:hAnsi="Calibri"/>
          <w:b/>
          <w:i w:val="0"/>
          <w:color w:val="0B2545"/>
          <w:sz w:val="21"/>
        </w:rPr>
        <w:t>Séparer les fréquences positives/négatives</w:t>
      </w:r>
      <w:r>
        <w:rPr>
          <w:rFonts w:ascii="Calibri" w:hAnsi="Calibri"/>
          <w:b w:val="0"/>
          <w:i w:val="0"/>
          <w:color w:val="000000"/>
          <w:sz w:val="21"/>
        </w:rPr>
        <w:t xml:space="preserve"> — J_plus et J_minus sont construits selon interaction_type.</w:t>
      </w:r>
    </w:p>
    <w:p>
      <w:pPr>
        <w:numPr>
          <w:ilvl w:val="0"/>
          <w:numId w:val="25"/>
        </w:numPr>
      </w:pPr>
      <w:r>
        <w:rPr>
          <w:rFonts w:ascii="Calibri" w:hAnsi="Calibri"/>
          <w:b/>
          <w:i w:val="0"/>
          <w:color w:val="0B2545"/>
          <w:sz w:val="21"/>
        </w:rPr>
        <w:t>Installer rho(0)</w:t>
      </w:r>
      <w:r>
        <w:rPr>
          <w:rFonts w:ascii="Calibri" w:hAnsi="Calibri"/>
          <w:b w:val="0"/>
          <w:i w:val="0"/>
          <w:color w:val="000000"/>
          <w:sz w:val="21"/>
        </w:rPr>
        <w:t xml:space="preserve"> — L'état fourni est transformé vers la base propre; sinon l'état thermique sera construit.</w:t>
      </w:r>
    </w:p>
    <w:p>
      <w:pPr>
        <w:numPr>
          <w:ilvl w:val="0"/>
          <w:numId w:val="26"/>
        </w:numPr>
      </w:pPr>
      <w:r>
        <w:rPr>
          <w:rFonts w:ascii="Calibri" w:hAnsi="Calibri"/>
          <w:b/>
          <w:i w:val="0"/>
          <w:color w:val="0B2545"/>
          <w:sz w:val="21"/>
        </w:rPr>
        <w:t>Construire le backend</w:t>
      </w:r>
      <w:r>
        <w:rPr>
          <w:rFonts w:ascii="Calibri" w:hAnsi="Calibri"/>
          <w:b w:val="0"/>
          <w:i w:val="0"/>
          <w:color w:val="000000"/>
          <w:sz w:val="21"/>
        </w:rPr>
        <w:t xml:space="preserve"> — Les superopérateurs et le Liouvillien sont pré-calculés.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60" w:line="264" w:lineRule="auto"/>
            </w:pPr>
            <w:r>
              <w:rPr>
                <w:rFonts w:ascii="Calibri" w:hAnsi="Calibri"/>
                <w:b/>
                <w:i w:val="0"/>
                <w:color w:val="2E74B5"/>
                <w:sz w:val="21"/>
              </w:rPr>
              <w:t>Dipôle versus courant</w:t>
            </w:r>
          </w:p>
          <w:p>
            <w:pPr>
              <w:spacing w:before="0" w:after="0" w:line="288" w:lineRule="auto"/>
            </w:pPr>
            <w:r>
              <w:rPr>
                <w:rFonts w:ascii="Calibri" w:hAnsi="Calibri"/>
                <w:b w:val="0"/>
                <w:i w:val="0"/>
                <w:color w:val="000000"/>
                <w:sz w:val="20"/>
              </w:rPr>
              <w:t>Pour interaction_type='dipole', la différence d'énergie décide si un élément appartient à J+ ou J-. Pour interaction_type='current', le code utilise les triangles inférieur et supérieur de l'opérateur dans la base propre.</w:t>
            </w:r>
          </w:p>
        </w:tc>
      </w:tr>
    </w:tbl>
    <w:p>
      <w:pPr>
        <w:spacing w:before="0" w:after="40" w:line="300" w:lineRule="auto"/>
      </w:pPr>
    </w:p>
    <w:p>
      <w:pPr>
        <w:pStyle w:val="Heading1"/>
      </w:pPr>
      <w:r>
        <w:t>7. Matrice de densité initiale</w:t>
      </w:r>
    </w:p>
    <w:p>
      <w:pPr>
        <w:spacing w:before="0" w:after="120" w:line="300" w:lineRule="auto"/>
      </w:pPr>
      <w:r>
        <w:rPr>
          <w:rFonts w:ascii="Calibri" w:hAnsi="Calibri"/>
          <w:b w:val="0"/>
          <w:i w:val="0"/>
          <w:color w:val="000000"/>
          <w:sz w:val="22"/>
        </w:rPr>
        <w:t>V6 accepte rho sous la forme (d,d) ou (N_k,d,d). Une matrice unique est diffusée sur tous les points k. En interne, rho est conservée dans la base propre puis vectorisée par colonnes.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trPr>
        <w:tc>
          <w:tcPr>
            <w:tcW w:type="dxa" w:w="320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8"/>
              </w:rPr>
              <w:t>Méthode</w:t>
            </w:r>
          </w:p>
        </w:tc>
        <w:tc>
          <w:tcPr>
            <w:tcW w:type="dxa" w:w="616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8"/>
              </w:rPr>
              <w:t>Usage</w:t>
            </w:r>
          </w:p>
        </w:tc>
      </w:tr>
      <w:tr>
        <w:tc>
          <w:tcPr>
            <w:tcW w:type="dxa" w:w="3200"/>
          </w:tcPr>
          <w:p>
            <w:pPr>
              <w:spacing w:before="0" w:after="0" w:line="264" w:lineRule="auto"/>
              <w:jc w:val="left"/>
            </w:pPr>
            <w:r>
              <w:rPr>
                <w:rFonts w:ascii="Calibri" w:hAnsi="Calibri"/>
                <w:b w:val="0"/>
                <w:i w:val="0"/>
                <w:color w:val="000000"/>
                <w:sz w:val="18"/>
              </w:rPr>
              <w:t>set_initial_density_matrix</w:t>
            </w:r>
          </w:p>
        </w:tc>
        <w:tc>
          <w:tcPr>
            <w:tcW w:type="dxa" w:w="6160"/>
          </w:tcPr>
          <w:p>
            <w:pPr>
              <w:spacing w:before="0" w:after="0" w:line="264" w:lineRule="auto"/>
              <w:jc w:val="left"/>
            </w:pPr>
            <w:r>
              <w:rPr>
                <w:rFonts w:ascii="Calibri" w:hAnsi="Calibri"/>
                <w:b w:val="0"/>
                <w:i w:val="0"/>
                <w:color w:val="000000"/>
                <w:sz w:val="18"/>
              </w:rPr>
              <w:t>Installer rho après feed_model.</w:t>
            </w:r>
          </w:p>
        </w:tc>
      </w:tr>
      <w:tr>
        <w:tc>
          <w:tcPr>
            <w:tcW w:type="dxa" w:w="3200"/>
          </w:tcPr>
          <w:p>
            <w:pPr>
              <w:spacing w:before="0" w:after="0" w:line="264" w:lineRule="auto"/>
              <w:jc w:val="left"/>
            </w:pPr>
            <w:r>
              <w:rPr>
                <w:rFonts w:ascii="Calibri" w:hAnsi="Calibri"/>
                <w:b w:val="0"/>
                <w:i w:val="0"/>
                <w:color w:val="000000"/>
                <w:sz w:val="18"/>
              </w:rPr>
              <w:t>get_initial_density_matrix</w:t>
            </w:r>
          </w:p>
        </w:tc>
        <w:tc>
          <w:tcPr>
            <w:tcW w:type="dxa" w:w="6160"/>
          </w:tcPr>
          <w:p>
            <w:pPr>
              <w:spacing w:before="0" w:after="0" w:line="264" w:lineRule="auto"/>
              <w:jc w:val="left"/>
            </w:pPr>
            <w:r>
              <w:rPr>
                <w:rFonts w:ascii="Calibri" w:hAnsi="Calibri"/>
                <w:b w:val="0"/>
                <w:i w:val="0"/>
                <w:color w:val="000000"/>
                <w:sz w:val="18"/>
              </w:rPr>
              <w:t>Relire rho dans la base site ou eigen.</w:t>
            </w:r>
          </w:p>
        </w:tc>
      </w:tr>
      <w:tr>
        <w:tc>
          <w:tcPr>
            <w:tcW w:type="dxa" w:w="3200"/>
          </w:tcPr>
          <w:p>
            <w:pPr>
              <w:spacing w:before="0" w:after="0" w:line="264" w:lineRule="auto"/>
              <w:jc w:val="left"/>
            </w:pPr>
            <w:r>
              <w:rPr>
                <w:rFonts w:ascii="Calibri" w:hAnsi="Calibri"/>
                <w:b w:val="0"/>
                <w:i w:val="0"/>
                <w:color w:val="000000"/>
                <w:sz w:val="18"/>
              </w:rPr>
              <w:t>clear_initial_density_matrix</w:t>
            </w:r>
          </w:p>
        </w:tc>
        <w:tc>
          <w:tcPr>
            <w:tcW w:type="dxa" w:w="6160"/>
          </w:tcPr>
          <w:p>
            <w:pPr>
              <w:spacing w:before="0" w:after="0" w:line="264" w:lineRule="auto"/>
              <w:jc w:val="left"/>
            </w:pPr>
            <w:r>
              <w:rPr>
                <w:rFonts w:ascii="Calibri" w:hAnsi="Calibri"/>
                <w:b w:val="0"/>
                <w:i w:val="0"/>
                <w:color w:val="000000"/>
                <w:sz w:val="18"/>
              </w:rPr>
              <w:t>Revenir à l'état thermique ou fondamental par défaut.</w:t>
            </w:r>
          </w:p>
        </w:tc>
      </w:tr>
      <w:tr>
        <w:tc>
          <w:tcPr>
            <w:tcW w:type="dxa" w:w="3200"/>
          </w:tcPr>
          <w:p>
            <w:pPr>
              <w:spacing w:before="0" w:after="0" w:line="264" w:lineRule="auto"/>
              <w:jc w:val="left"/>
            </w:pPr>
            <w:r>
              <w:rPr>
                <w:rFonts w:ascii="Calibri" w:hAnsi="Calibri"/>
                <w:b w:val="0"/>
                <w:i w:val="0"/>
                <w:color w:val="000000"/>
                <w:sz w:val="18"/>
              </w:rPr>
              <w:t>feed_model(..., initial_density_matrix=...)</w:t>
            </w:r>
          </w:p>
        </w:tc>
        <w:tc>
          <w:tcPr>
            <w:tcW w:type="dxa" w:w="6160"/>
          </w:tcPr>
          <w:p>
            <w:pPr>
              <w:spacing w:before="0" w:after="0" w:line="264" w:lineRule="auto"/>
              <w:jc w:val="left"/>
            </w:pPr>
            <w:r>
              <w:rPr>
                <w:rFonts w:ascii="Calibri" w:hAnsi="Calibri"/>
                <w:b w:val="0"/>
                <w:i w:val="0"/>
                <w:color w:val="000000"/>
                <w:sz w:val="18"/>
              </w:rPr>
              <w:t>Installer rho pendant le chargement.</w:t>
            </w:r>
          </w:p>
        </w:tc>
      </w:tr>
    </w:tbl>
    <w:p>
      <w:pPr>
        <w:spacing w:before="0" w:after="40" w:line="300" w:lineRule="auto"/>
      </w:pPr>
    </w:p>
    <w:p>
      <w:pPr>
        <w:pStyle w:val="Heading2"/>
      </w:pPr>
      <w:r>
        <w:t>7.1 Validations effectuées</w:t>
      </w:r>
    </w:p>
    <w:p>
      <w:pPr>
        <w:numPr>
          <w:ilvl w:val="0"/>
          <w:numId w:val="10"/>
        </w:numPr>
      </w:pPr>
      <w:r>
        <w:rPr>
          <w:rFonts w:ascii="Calibri" w:hAnsi="Calibri"/>
          <w:b w:val="0"/>
          <w:i w:val="0"/>
          <w:color w:val="000000"/>
          <w:sz w:val="21"/>
        </w:rPr>
        <w:t>Hermiticité : rho = rho† à density_matrix_tolerance près.</w:t>
      </w:r>
    </w:p>
    <w:p>
      <w:pPr>
        <w:numPr>
          <w:ilvl w:val="0"/>
          <w:numId w:val="10"/>
        </w:numPr>
      </w:pPr>
      <w:r>
        <w:rPr>
          <w:rFonts w:ascii="Calibri" w:hAnsi="Calibri"/>
          <w:b w:val="0"/>
          <w:i w:val="0"/>
          <w:color w:val="000000"/>
          <w:sz w:val="21"/>
        </w:rPr>
        <w:t>Trace réelle et positive.</w:t>
      </w:r>
    </w:p>
    <w:p>
      <w:pPr>
        <w:numPr>
          <w:ilvl w:val="0"/>
          <w:numId w:val="10"/>
        </w:numPr>
      </w:pPr>
      <w:r>
        <w:rPr>
          <w:rFonts w:ascii="Calibri" w:hAnsi="Calibri"/>
          <w:b w:val="0"/>
          <w:i w:val="0"/>
          <w:color w:val="000000"/>
          <w:sz w:val="21"/>
        </w:rPr>
        <w:t>Normalisation automatique à trace 1 si normalize=True.</w:t>
      </w:r>
    </w:p>
    <w:p>
      <w:pPr>
        <w:numPr>
          <w:ilvl w:val="0"/>
          <w:numId w:val="10"/>
        </w:numPr>
      </w:pPr>
      <w:r>
        <w:rPr>
          <w:rFonts w:ascii="Calibri" w:hAnsi="Calibri"/>
          <w:b w:val="0"/>
          <w:i w:val="0"/>
          <w:color w:val="000000"/>
          <w:sz w:val="21"/>
        </w:rPr>
        <w:t>Positivité semi-définie via les valeurs propres hermitiennes.</w:t>
      </w:r>
    </w:p>
    <w:p>
      <w:pPr>
        <w:spacing w:before="60" w:after="160" w:line="240" w:lineRule="auto"/>
        <w:ind w:left="259" w:right="259"/>
        <w:shd w:fill="F2F4F7"/>
      </w:pPr>
      <w:r>
        <w:rPr>
          <w:rFonts w:ascii="Consolas" w:hAnsi="Consolas"/>
          <w:b w:val="0"/>
          <w:i w:val="0"/>
          <w:color w:val="0B2545"/>
          <w:sz w:val="17"/>
        </w:rPr>
        <w:t>rho0 = np.zeros((dim, dim), dtype=complex)</w:t>
      </w:r>
      <w:r>
        <w:br/>
      </w:r>
      <w:r>
        <w:rPr>
          <w:rFonts w:ascii="Consolas" w:hAnsi="Consolas"/>
          <w:b w:val="0"/>
          <w:i w:val="0"/>
          <w:color w:val="0B2545"/>
          <w:sz w:val="17"/>
        </w:rPr>
        <w:t>rho0[0, 0] = 1.0</w:t>
      </w:r>
      <w:r>
        <w:br/>
      </w:r>
      <w:r>
        <w:rPr>
          <w:rFonts w:ascii="Consolas" w:hAnsi="Consolas"/>
          <w:b w:val="0"/>
          <w:i w:val="0"/>
          <w:color w:val="0B2545"/>
          <w:sz w:val="17"/>
        </w:rPr>
        <w:t>system.set_initial_density_matrix(rho0, basis="site")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before="0" w:after="60" w:line="264" w:lineRule="auto"/>
            </w:pPr>
            <w:r>
              <w:rPr>
                <w:rFonts w:ascii="Calibri" w:hAnsi="Calibri"/>
                <w:b/>
                <w:i w:val="0"/>
                <w:color w:val="7A5A00"/>
                <w:sz w:val="21"/>
              </w:rPr>
              <w:t>État thermique par défaut</w:t>
            </w:r>
          </w:p>
          <w:p>
            <w:pPr>
              <w:spacing w:before="0" w:after="0" w:line="288" w:lineRule="auto"/>
            </w:pPr>
            <w:r>
              <w:rPr>
                <w:rFonts w:ascii="Calibri" w:hAnsi="Calibri"/>
                <w:b w:val="0"/>
                <w:i w:val="0"/>
                <w:color w:val="000000"/>
                <w:sz w:val="20"/>
              </w:rPr>
              <w:t>Si T &gt; 0, les poids sont proportionnels à exp[-beta(E-Emin)]. Si T = 0, seule la première valeur propre est peuplée. Dans l'implémentation actuelle, mu est soustrait uniformément puis éliminé par le recentrage sur le minimum; un vrai potentiel chimique dépendant du nombre de particules demanderait un opérateur N explicite.</w:t>
            </w:r>
          </w:p>
        </w:tc>
      </w:tr>
    </w:tbl>
    <w:p>
      <w:pPr>
        <w:spacing w:before="0" w:after="40" w:line="300" w:lineRule="auto"/>
      </w:pPr>
    </w:p>
    <w:p>
      <w:pPr>
        <w:pStyle w:val="Heading1"/>
      </w:pPr>
      <w:r>
        <w:t>8. Dissipation et construction du Liouvillien</w:t>
      </w:r>
    </w:p>
    <w:p>
      <w:pPr>
        <w:spacing w:before="0" w:after="120" w:line="300" w:lineRule="auto"/>
      </w:pPr>
      <w:r>
        <w:rPr>
          <w:rFonts w:ascii="Calibri" w:hAnsi="Calibri"/>
          <w:b w:val="0"/>
          <w:i w:val="0"/>
          <w:color w:val="000000"/>
          <w:sz w:val="22"/>
        </w:rPr>
        <w:t>Chaque canal est fourni comme (C, gamma). Le code multiplie lui-même le dissipateur standard par gamma; il ne faut donc pas nécessairement incorporer sqrt(gamma) dans C si gamma est aussi fourni séparément.</w:t>
      </w:r>
    </w:p>
    <w:p>
      <w:pPr>
        <w:spacing w:before="60" w:after="160" w:line="240" w:lineRule="auto"/>
        <w:ind w:left="259" w:right="259"/>
        <w:shd w:fill="F2F4F7"/>
      </w:pPr>
      <w:r>
        <w:rPr>
          <w:rFonts w:ascii="Consolas" w:hAnsi="Consolas"/>
          <w:b w:val="0"/>
          <w:i w:val="0"/>
          <w:color w:val="0B2545"/>
          <w:sz w:val="17"/>
        </w:rPr>
        <w:t>D_C[rho] = gamma * (C rho C† - 1/2 C†C rho - 1/2 rho C†C)</w:t>
      </w:r>
      <w:r>
        <w:br/>
      </w:r>
      <w:r>
        <w:rPr>
          <w:rFonts w:ascii="Consolas" w:hAnsi="Consolas"/>
          <w:b w:val="0"/>
          <w:i w:val="0"/>
          <w:color w:val="0B2545"/>
          <w:sz w:val="17"/>
        </w:rPr>
        <w:t>L_eff = spre(H) - spost(H) + i * somme(D_C)</w:t>
      </w:r>
    </w:p>
    <w:p>
      <w:pPr>
        <w:spacing w:before="0" w:after="120" w:line="300" w:lineRule="auto"/>
      </w:pPr>
      <w:r>
        <w:rPr>
          <w:rFonts w:ascii="Calibri" w:hAnsi="Calibri"/>
          <w:b w:val="0"/>
          <w:i w:val="0"/>
          <w:color w:val="000000"/>
          <w:sz w:val="22"/>
        </w:rPr>
        <w:t>set_dissipation reconstruit le backend parce que L_eff dépend des canaux Lindblad. Les caches sont vidés afin de ne pas réutiliser des résolvants calculés avec un ancien Liouvillien.</w:t>
      </w:r>
    </w:p>
    <w:p>
      <w:pPr>
        <w:pStyle w:val="Heading1"/>
      </w:pPr>
      <w:r>
        <w:t>9. Backends dense et sparse</w:t>
      </w:r>
    </w:p>
    <w:p>
      <w:pPr>
        <w:pStyle w:val="Heading2"/>
      </w:pPr>
      <w:r>
        <w:t>9.1 L'espace de Liouville</w:t>
      </w:r>
    </w:p>
    <w:p>
      <w:pPr>
        <w:spacing w:before="0" w:after="120" w:line="300" w:lineRule="auto"/>
      </w:pPr>
      <w:r>
        <w:rPr>
          <w:rFonts w:ascii="Calibri" w:hAnsi="Calibri"/>
          <w:b w:val="0"/>
          <w:i w:val="0"/>
          <w:color w:val="000000"/>
          <w:sz w:val="22"/>
        </w:rPr>
        <w:t>Une matrice de densité d x d devient un vecteur de longueur d^2. Une opération A rho devient (I tensor A)|rho&gt;, tandis que rho A devient (A^T tensor I)|rho&gt;. Les méthodes spre et spost construisent ces deux représentations.</w:t>
      </w:r>
    </w:p>
    <w:tbl>
      <w:tblPr>
        <w:tblStyle w:val="TableGrid"/>
        <w:tblW w:type="dxa" w:w="9360"/>
        <w:jc w:val="left"/>
        <w:tblLayout w:type="fixed"/>
        <w:tblLook w:firstColumn="1" w:firstRow="1" w:lastColumn="0" w:lastRow="0" w:noHBand="0" w:noVBand="1" w:val="04A0"/>
        <w:tblInd w:w="120" w:type="dxa"/>
      </w:tblPr>
      <w:tblGrid>
        <w:gridCol w:w="1800"/>
        <w:gridCol w:w="3780"/>
        <w:gridCol w:w="3780"/>
      </w:tblGrid>
      <w:tr>
        <w:trPr>
          <w:tblHeader w:val="true"/>
        </w:trPr>
        <w:tc>
          <w:tcPr>
            <w:tcW w:type="dxa" w:w="180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7"/>
              </w:rPr>
              <w:t>Aspect</w:t>
            </w:r>
          </w:p>
        </w:tc>
        <w:tc>
          <w:tcPr>
            <w:tcW w:type="dxa" w:w="378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7"/>
              </w:rPr>
              <w:t>Dense</w:t>
            </w:r>
          </w:p>
        </w:tc>
        <w:tc>
          <w:tcPr>
            <w:tcW w:type="dxa" w:w="378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7"/>
              </w:rPr>
              <w:t>Sparse</w:t>
            </w:r>
          </w:p>
        </w:tc>
      </w:tr>
      <w:tr>
        <w:tc>
          <w:tcPr>
            <w:tcW w:type="dxa" w:w="1800"/>
          </w:tcPr>
          <w:p>
            <w:pPr>
              <w:spacing w:before="0" w:after="0" w:line="264" w:lineRule="auto"/>
              <w:jc w:val="left"/>
            </w:pPr>
            <w:r>
              <w:rPr>
                <w:rFonts w:ascii="Calibri" w:hAnsi="Calibri"/>
                <w:b w:val="0"/>
                <w:i w:val="0"/>
                <w:color w:val="000000"/>
                <w:sz w:val="17"/>
              </w:rPr>
              <w:t>Stockage</w:t>
            </w:r>
          </w:p>
        </w:tc>
        <w:tc>
          <w:tcPr>
            <w:tcW w:type="dxa" w:w="3780"/>
          </w:tcPr>
          <w:p>
            <w:pPr>
              <w:spacing w:before="0" w:after="0" w:line="264" w:lineRule="auto"/>
              <w:jc w:val="left"/>
            </w:pPr>
            <w:r>
              <w:rPr>
                <w:rFonts w:ascii="Calibri" w:hAnsi="Calibri"/>
                <w:b w:val="0"/>
                <w:i w:val="0"/>
                <w:color w:val="000000"/>
                <w:sz w:val="17"/>
              </w:rPr>
              <w:t>Tableaux complets batchés sur k</w:t>
            </w:r>
          </w:p>
        </w:tc>
        <w:tc>
          <w:tcPr>
            <w:tcW w:type="dxa" w:w="3780"/>
          </w:tcPr>
          <w:p>
            <w:pPr>
              <w:spacing w:before="0" w:after="0" w:line="264" w:lineRule="auto"/>
              <w:jc w:val="left"/>
            </w:pPr>
            <w:r>
              <w:rPr>
                <w:rFonts w:ascii="Calibri" w:hAnsi="Calibri"/>
                <w:b w:val="0"/>
                <w:i w:val="0"/>
                <w:color w:val="000000"/>
                <w:sz w:val="17"/>
              </w:rPr>
              <w:t>Matrices CSR séparées pour chaque k</w:t>
            </w:r>
          </w:p>
        </w:tc>
      </w:tr>
      <w:tr>
        <w:tc>
          <w:tcPr>
            <w:tcW w:type="dxa" w:w="1800"/>
          </w:tcPr>
          <w:p>
            <w:pPr>
              <w:spacing w:before="0" w:after="0" w:line="264" w:lineRule="auto"/>
              <w:jc w:val="left"/>
            </w:pPr>
            <w:r>
              <w:rPr>
                <w:rFonts w:ascii="Calibri" w:hAnsi="Calibri"/>
                <w:b w:val="0"/>
                <w:i w:val="0"/>
                <w:color w:val="000000"/>
                <w:sz w:val="17"/>
              </w:rPr>
              <w:t>Résolvant</w:t>
            </w:r>
          </w:p>
        </w:tc>
        <w:tc>
          <w:tcPr>
            <w:tcW w:type="dxa" w:w="3780"/>
          </w:tcPr>
          <w:p>
            <w:pPr>
              <w:spacing w:before="0" w:after="0" w:line="264" w:lineRule="auto"/>
              <w:jc w:val="left"/>
            </w:pPr>
            <w:r>
              <w:rPr>
                <w:rFonts w:ascii="Calibri" w:hAnsi="Calibri"/>
                <w:b w:val="0"/>
                <w:i w:val="0"/>
                <w:color w:val="000000"/>
                <w:sz w:val="17"/>
              </w:rPr>
              <w:t>Inverse explicite batché</w:t>
            </w:r>
          </w:p>
        </w:tc>
        <w:tc>
          <w:tcPr>
            <w:tcW w:type="dxa" w:w="3780"/>
          </w:tcPr>
          <w:p>
            <w:pPr>
              <w:spacing w:before="0" w:after="0" w:line="264" w:lineRule="auto"/>
              <w:jc w:val="left"/>
            </w:pPr>
            <w:r>
              <w:rPr>
                <w:rFonts w:ascii="Calibri" w:hAnsi="Calibri"/>
                <w:b w:val="0"/>
                <w:i w:val="0"/>
                <w:color w:val="000000"/>
                <w:sz w:val="17"/>
              </w:rPr>
              <w:t>Résolution linéaire directe ou GMRES</w:t>
            </w:r>
          </w:p>
        </w:tc>
      </w:tr>
      <w:tr>
        <w:tc>
          <w:tcPr>
            <w:tcW w:type="dxa" w:w="1800"/>
          </w:tcPr>
          <w:p>
            <w:pPr>
              <w:spacing w:before="0" w:after="0" w:line="264" w:lineRule="auto"/>
              <w:jc w:val="left"/>
            </w:pPr>
            <w:r>
              <w:rPr>
                <w:rFonts w:ascii="Calibri" w:hAnsi="Calibri"/>
                <w:b w:val="0"/>
                <w:i w:val="0"/>
                <w:color w:val="000000"/>
                <w:sz w:val="17"/>
              </w:rPr>
              <w:t>G2(tau2)</w:t>
            </w:r>
          </w:p>
        </w:tc>
        <w:tc>
          <w:tcPr>
            <w:tcW w:type="dxa" w:w="3780"/>
          </w:tcPr>
          <w:p>
            <w:pPr>
              <w:spacing w:before="0" w:after="0" w:line="264" w:lineRule="auto"/>
              <w:jc w:val="left"/>
            </w:pPr>
            <w:r>
              <w:rPr>
                <w:rFonts w:ascii="Calibri" w:hAnsi="Calibri"/>
                <w:b w:val="0"/>
                <w:i w:val="0"/>
                <w:color w:val="000000"/>
                <w:sz w:val="17"/>
              </w:rPr>
              <w:t>Diagonalisation puis exponentielle</w:t>
            </w:r>
          </w:p>
        </w:tc>
        <w:tc>
          <w:tcPr>
            <w:tcW w:type="dxa" w:w="3780"/>
          </w:tcPr>
          <w:p>
            <w:pPr>
              <w:spacing w:before="0" w:after="0" w:line="264" w:lineRule="auto"/>
              <w:jc w:val="left"/>
            </w:pPr>
            <w:r>
              <w:rPr>
                <w:rFonts w:ascii="Calibri" w:hAnsi="Calibri"/>
                <w:b w:val="0"/>
                <w:i w:val="0"/>
                <w:color w:val="000000"/>
                <w:sz w:val="17"/>
              </w:rPr>
              <w:t>expm_multiply ou matrice exponentielle cachée</w:t>
            </w:r>
          </w:p>
        </w:tc>
      </w:tr>
      <w:tr>
        <w:tc>
          <w:tcPr>
            <w:tcW w:type="dxa" w:w="1800"/>
          </w:tcPr>
          <w:p>
            <w:pPr>
              <w:spacing w:before="0" w:after="0" w:line="264" w:lineRule="auto"/>
              <w:jc w:val="left"/>
            </w:pPr>
            <w:r>
              <w:rPr>
                <w:rFonts w:ascii="Calibri" w:hAnsi="Calibri"/>
                <w:b w:val="0"/>
                <w:i w:val="0"/>
                <w:color w:val="000000"/>
                <w:sz w:val="17"/>
              </w:rPr>
              <w:t>Avantage</w:t>
            </w:r>
          </w:p>
        </w:tc>
        <w:tc>
          <w:tcPr>
            <w:tcW w:type="dxa" w:w="3780"/>
          </w:tcPr>
          <w:p>
            <w:pPr>
              <w:spacing w:before="0" w:after="0" w:line="264" w:lineRule="auto"/>
              <w:jc w:val="left"/>
            </w:pPr>
            <w:r>
              <w:rPr>
                <w:rFonts w:ascii="Calibri" w:hAnsi="Calibri"/>
                <w:b w:val="0"/>
                <w:i w:val="0"/>
                <w:color w:val="000000"/>
                <w:sz w:val="17"/>
              </w:rPr>
              <w:t>Très rapide pour petit d^2</w:t>
            </w:r>
          </w:p>
        </w:tc>
        <w:tc>
          <w:tcPr>
            <w:tcW w:type="dxa" w:w="3780"/>
          </w:tcPr>
          <w:p>
            <w:pPr>
              <w:spacing w:before="0" w:after="0" w:line="264" w:lineRule="auto"/>
              <w:jc w:val="left"/>
            </w:pPr>
            <w:r>
              <w:rPr>
                <w:rFonts w:ascii="Calibri" w:hAnsi="Calibri"/>
                <w:b w:val="0"/>
                <w:i w:val="0"/>
                <w:color w:val="000000"/>
                <w:sz w:val="17"/>
              </w:rPr>
              <w:t>Réduit la mémoire pour grands espaces</w:t>
            </w:r>
          </w:p>
        </w:tc>
      </w:tr>
      <w:tr>
        <w:tc>
          <w:tcPr>
            <w:tcW w:type="dxa" w:w="1800"/>
          </w:tcPr>
          <w:p>
            <w:pPr>
              <w:spacing w:before="0" w:after="0" w:line="264" w:lineRule="auto"/>
              <w:jc w:val="left"/>
            </w:pPr>
            <w:r>
              <w:rPr>
                <w:rFonts w:ascii="Calibri" w:hAnsi="Calibri"/>
                <w:b w:val="0"/>
                <w:i w:val="0"/>
                <w:color w:val="000000"/>
                <w:sz w:val="17"/>
              </w:rPr>
              <w:t>Risque</w:t>
            </w:r>
          </w:p>
        </w:tc>
        <w:tc>
          <w:tcPr>
            <w:tcW w:type="dxa" w:w="3780"/>
          </w:tcPr>
          <w:p>
            <w:pPr>
              <w:spacing w:before="0" w:after="0" w:line="264" w:lineRule="auto"/>
              <w:jc w:val="center"/>
            </w:pPr>
            <w:r>
              <w:rPr>
                <w:rFonts w:ascii="Calibri" w:hAnsi="Calibri"/>
                <w:b w:val="0"/>
                <w:i w:val="0"/>
                <w:color w:val="000000"/>
                <w:sz w:val="17"/>
              </w:rPr>
              <w:t>Mémoire en O(d^4)</w:t>
            </w:r>
          </w:p>
        </w:tc>
        <w:tc>
          <w:tcPr>
            <w:tcW w:type="dxa" w:w="3780"/>
          </w:tcPr>
          <w:p>
            <w:pPr>
              <w:spacing w:before="0" w:after="0" w:line="264" w:lineRule="auto"/>
              <w:jc w:val="left"/>
            </w:pPr>
            <w:r>
              <w:rPr>
                <w:rFonts w:ascii="Calibri" w:hAnsi="Calibri"/>
                <w:b w:val="0"/>
                <w:i w:val="0"/>
                <w:color w:val="000000"/>
                <w:sz w:val="17"/>
              </w:rPr>
              <w:t>Coût des solveurs et convergence GMRES</w:t>
            </w:r>
          </w:p>
        </w:tc>
      </w:tr>
      <w:tr>
        <w:tc>
          <w:tcPr>
            <w:tcW w:type="dxa" w:w="1800"/>
          </w:tcPr>
          <w:p>
            <w:pPr>
              <w:spacing w:before="0" w:after="0" w:line="264" w:lineRule="auto"/>
              <w:jc w:val="left"/>
            </w:pPr>
            <w:r>
              <w:rPr>
                <w:rFonts w:ascii="Calibri" w:hAnsi="Calibri"/>
                <w:b w:val="0"/>
                <w:i w:val="0"/>
                <w:color w:val="000000"/>
                <w:sz w:val="17"/>
              </w:rPr>
              <w:t>Sélection auto</w:t>
            </w:r>
          </w:p>
        </w:tc>
        <w:tc>
          <w:tcPr>
            <w:tcW w:type="dxa" w:w="3780"/>
          </w:tcPr>
          <w:p>
            <w:pPr>
              <w:spacing w:before="0" w:after="0" w:line="264" w:lineRule="auto"/>
              <w:jc w:val="center"/>
            </w:pPr>
            <w:r>
              <w:rPr>
                <w:rFonts w:ascii="Calibri" w:hAnsi="Calibri"/>
                <w:b w:val="0"/>
                <w:i w:val="0"/>
                <w:color w:val="000000"/>
                <w:sz w:val="17"/>
              </w:rPr>
              <w:t>si d^2 &lt;= cutoff</w:t>
            </w:r>
          </w:p>
        </w:tc>
        <w:tc>
          <w:tcPr>
            <w:tcW w:type="dxa" w:w="3780"/>
          </w:tcPr>
          <w:p>
            <w:pPr>
              <w:spacing w:before="0" w:after="0" w:line="264" w:lineRule="auto"/>
              <w:jc w:val="center"/>
            </w:pPr>
            <w:r>
              <w:rPr>
                <w:rFonts w:ascii="Calibri" w:hAnsi="Calibri"/>
                <w:b w:val="0"/>
                <w:i w:val="0"/>
                <w:color w:val="000000"/>
                <w:sz w:val="17"/>
              </w:rPr>
              <w:t>sinon</w:t>
            </w:r>
          </w:p>
        </w:tc>
      </w:tr>
    </w:tbl>
    <w:p>
      <w:pPr>
        <w:spacing w:before="0" w:after="40" w:line="300" w:lineRule="auto"/>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E"/>
          </w:tcPr>
          <w:p>
            <w:pPr>
              <w:spacing w:before="0" w:after="60" w:line="264" w:lineRule="auto"/>
            </w:pPr>
            <w:r>
              <w:rPr>
                <w:rFonts w:ascii="Calibri" w:hAnsi="Calibri"/>
                <w:b/>
                <w:i w:val="0"/>
                <w:color w:val="2F6B4F"/>
                <w:sz w:val="21"/>
              </w:rPr>
              <w:t>Modèle SOC actuel</w:t>
            </w:r>
          </w:p>
          <w:p>
            <w:pPr>
              <w:spacing w:before="0" w:after="0" w:line="288" w:lineRule="auto"/>
            </w:pPr>
            <w:r>
              <w:rPr>
                <w:rFonts w:ascii="Calibri" w:hAnsi="Calibri"/>
                <w:b w:val="0"/>
                <w:i w:val="0"/>
                <w:color w:val="000000"/>
                <w:sz w:val="20"/>
              </w:rPr>
              <w:t>Avec 3 orbitales x 2 niveaux bosoniques, d = 6 et d^2 = 36. Le backend dense est donc le choix naturel avec le cutoff par défaut de 512.</w:t>
            </w:r>
          </w:p>
        </w:tc>
      </w:tr>
    </w:tbl>
    <w:p>
      <w:pPr>
        <w:spacing w:before="0" w:after="40" w:line="300" w:lineRule="auto"/>
      </w:pPr>
    </w:p>
    <w:p>
      <w:pPr>
        <w:pStyle w:val="Heading1"/>
      </w:pPr>
      <w:r>
        <w:t>10. Pathways, UFSS et conventions Ku/Kd/Bu/Bd</w:t>
      </w:r>
    </w:p>
    <w:p>
      <w:pPr>
        <w:pStyle w:val="Heading2"/>
      </w:pPr>
      <w:r>
        <w:t>10.1 Traduction en superopérateurs</w:t>
      </w:r>
    </w:p>
    <w:tbl>
      <w:tblPr>
        <w:tblStyle w:val="TableGrid"/>
        <w:tblW w:type="dxa" w:w="9360"/>
        <w:jc w:val="left"/>
        <w:tblLayout w:type="fixed"/>
        <w:tblLook w:firstColumn="1" w:firstRow="1" w:lastColumn="0" w:lastRow="0" w:noHBand="0" w:noVBand="1" w:val="04A0"/>
        <w:tblInd w:w="120" w:type="dxa"/>
      </w:tblPr>
      <w:tblGrid>
        <w:gridCol w:w="1900"/>
        <w:gridCol w:w="2500"/>
        <w:gridCol w:w="4960"/>
      </w:tblGrid>
      <w:tr>
        <w:trPr>
          <w:tblHeader w:val="true"/>
        </w:trPr>
        <w:tc>
          <w:tcPr>
            <w:tcW w:type="dxa" w:w="190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8"/>
              </w:rPr>
              <w:t>Instruction UFSS</w:t>
            </w:r>
          </w:p>
        </w:tc>
        <w:tc>
          <w:tcPr>
            <w:tcW w:type="dxa" w:w="250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8"/>
              </w:rPr>
              <w:t>Sens</w:t>
            </w:r>
          </w:p>
        </w:tc>
        <w:tc>
          <w:tcPr>
            <w:tcW w:type="dxa" w:w="496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8"/>
              </w:rPr>
              <w:t>Superopérateur V6</w:t>
            </w:r>
          </w:p>
        </w:tc>
      </w:tr>
      <w:tr>
        <w:tc>
          <w:tcPr>
            <w:tcW w:type="dxa" w:w="1900"/>
          </w:tcPr>
          <w:p>
            <w:pPr>
              <w:spacing w:before="0" w:after="0" w:line="264" w:lineRule="auto"/>
              <w:jc w:val="left"/>
            </w:pPr>
            <w:r>
              <w:rPr>
                <w:rFonts w:ascii="Calibri" w:hAnsi="Calibri"/>
                <w:b w:val="0"/>
                <w:i w:val="0"/>
                <w:color w:val="000000"/>
                <w:sz w:val="18"/>
              </w:rPr>
              <w:t>Ku</w:t>
            </w:r>
          </w:p>
        </w:tc>
        <w:tc>
          <w:tcPr>
            <w:tcW w:type="dxa" w:w="2500"/>
          </w:tcPr>
          <w:p>
            <w:pPr>
              <w:spacing w:before="0" w:after="0" w:line="264" w:lineRule="auto"/>
              <w:jc w:val="center"/>
            </w:pPr>
            <w:r>
              <w:rPr>
                <w:rFonts w:ascii="Calibri" w:hAnsi="Calibri"/>
                <w:b w:val="0"/>
                <w:i w:val="0"/>
                <w:color w:val="000000"/>
                <w:sz w:val="18"/>
              </w:rPr>
              <w:t>ket up</w:t>
            </w:r>
          </w:p>
        </w:tc>
        <w:tc>
          <w:tcPr>
            <w:tcW w:type="dxa" w:w="4960"/>
          </w:tcPr>
          <w:p>
            <w:pPr>
              <w:spacing w:before="0" w:after="0" w:line="264" w:lineRule="auto"/>
              <w:jc w:val="center"/>
            </w:pPr>
            <w:r>
              <w:rPr>
                <w:rFonts w:ascii="Calibri" w:hAnsi="Calibri"/>
                <w:b w:val="0"/>
                <w:i w:val="0"/>
                <w:color w:val="000000"/>
                <w:sz w:val="18"/>
              </w:rPr>
              <w:t>JL+ = spre(J+)</w:t>
            </w:r>
          </w:p>
        </w:tc>
      </w:tr>
      <w:tr>
        <w:tc>
          <w:tcPr>
            <w:tcW w:type="dxa" w:w="1900"/>
          </w:tcPr>
          <w:p>
            <w:pPr>
              <w:spacing w:before="0" w:after="0" w:line="264" w:lineRule="auto"/>
              <w:jc w:val="left"/>
            </w:pPr>
            <w:r>
              <w:rPr>
                <w:rFonts w:ascii="Calibri" w:hAnsi="Calibri"/>
                <w:b w:val="0"/>
                <w:i w:val="0"/>
                <w:color w:val="000000"/>
                <w:sz w:val="18"/>
              </w:rPr>
              <w:t>Kd</w:t>
            </w:r>
          </w:p>
        </w:tc>
        <w:tc>
          <w:tcPr>
            <w:tcW w:type="dxa" w:w="2500"/>
          </w:tcPr>
          <w:p>
            <w:pPr>
              <w:spacing w:before="0" w:after="0" w:line="264" w:lineRule="auto"/>
              <w:jc w:val="center"/>
            </w:pPr>
            <w:r>
              <w:rPr>
                <w:rFonts w:ascii="Calibri" w:hAnsi="Calibri"/>
                <w:b w:val="0"/>
                <w:i w:val="0"/>
                <w:color w:val="000000"/>
                <w:sz w:val="18"/>
              </w:rPr>
              <w:t>ket down</w:t>
            </w:r>
          </w:p>
        </w:tc>
        <w:tc>
          <w:tcPr>
            <w:tcW w:type="dxa" w:w="4960"/>
          </w:tcPr>
          <w:p>
            <w:pPr>
              <w:spacing w:before="0" w:after="0" w:line="264" w:lineRule="auto"/>
              <w:jc w:val="center"/>
            </w:pPr>
            <w:r>
              <w:rPr>
                <w:rFonts w:ascii="Calibri" w:hAnsi="Calibri"/>
                <w:b w:val="0"/>
                <w:i w:val="0"/>
                <w:color w:val="000000"/>
                <w:sz w:val="18"/>
              </w:rPr>
              <w:t>JL- = spre(J-)</w:t>
            </w:r>
          </w:p>
        </w:tc>
      </w:tr>
      <w:tr>
        <w:tc>
          <w:tcPr>
            <w:tcW w:type="dxa" w:w="1900"/>
          </w:tcPr>
          <w:p>
            <w:pPr>
              <w:spacing w:before="0" w:after="0" w:line="264" w:lineRule="auto"/>
              <w:jc w:val="left"/>
            </w:pPr>
            <w:r>
              <w:rPr>
                <w:rFonts w:ascii="Calibri" w:hAnsi="Calibri"/>
                <w:b w:val="0"/>
                <w:i w:val="0"/>
                <w:color w:val="000000"/>
                <w:sz w:val="18"/>
              </w:rPr>
              <w:t>Bu</w:t>
            </w:r>
          </w:p>
        </w:tc>
        <w:tc>
          <w:tcPr>
            <w:tcW w:type="dxa" w:w="2500"/>
          </w:tcPr>
          <w:p>
            <w:pPr>
              <w:spacing w:before="0" w:after="0" w:line="264" w:lineRule="auto"/>
              <w:jc w:val="center"/>
            </w:pPr>
            <w:r>
              <w:rPr>
                <w:rFonts w:ascii="Calibri" w:hAnsi="Calibri"/>
                <w:b w:val="0"/>
                <w:i w:val="0"/>
                <w:color w:val="000000"/>
                <w:sz w:val="18"/>
              </w:rPr>
              <w:t>bra up</w:t>
            </w:r>
          </w:p>
        </w:tc>
        <w:tc>
          <w:tcPr>
            <w:tcW w:type="dxa" w:w="4960"/>
          </w:tcPr>
          <w:p>
            <w:pPr>
              <w:spacing w:before="0" w:after="0" w:line="264" w:lineRule="auto"/>
              <w:jc w:val="center"/>
            </w:pPr>
            <w:r>
              <w:rPr>
                <w:rFonts w:ascii="Calibri" w:hAnsi="Calibri"/>
                <w:b w:val="0"/>
                <w:i w:val="0"/>
                <w:color w:val="000000"/>
                <w:sz w:val="18"/>
              </w:rPr>
              <w:t>JR- = spost(J-)</w:t>
            </w:r>
          </w:p>
        </w:tc>
      </w:tr>
      <w:tr>
        <w:tc>
          <w:tcPr>
            <w:tcW w:type="dxa" w:w="1900"/>
          </w:tcPr>
          <w:p>
            <w:pPr>
              <w:spacing w:before="0" w:after="0" w:line="264" w:lineRule="auto"/>
              <w:jc w:val="left"/>
            </w:pPr>
            <w:r>
              <w:rPr>
                <w:rFonts w:ascii="Calibri" w:hAnsi="Calibri"/>
                <w:b w:val="0"/>
                <w:i w:val="0"/>
                <w:color w:val="000000"/>
                <w:sz w:val="18"/>
              </w:rPr>
              <w:t>Bd</w:t>
            </w:r>
          </w:p>
        </w:tc>
        <w:tc>
          <w:tcPr>
            <w:tcW w:type="dxa" w:w="2500"/>
          </w:tcPr>
          <w:p>
            <w:pPr>
              <w:spacing w:before="0" w:after="0" w:line="264" w:lineRule="auto"/>
              <w:jc w:val="center"/>
            </w:pPr>
            <w:r>
              <w:rPr>
                <w:rFonts w:ascii="Calibri" w:hAnsi="Calibri"/>
                <w:b w:val="0"/>
                <w:i w:val="0"/>
                <w:color w:val="000000"/>
                <w:sz w:val="18"/>
              </w:rPr>
              <w:t>bra down</w:t>
            </w:r>
          </w:p>
        </w:tc>
        <w:tc>
          <w:tcPr>
            <w:tcW w:type="dxa" w:w="4960"/>
          </w:tcPr>
          <w:p>
            <w:pPr>
              <w:spacing w:before="0" w:after="0" w:line="264" w:lineRule="auto"/>
              <w:jc w:val="center"/>
            </w:pPr>
            <w:r>
              <w:rPr>
                <w:rFonts w:ascii="Calibri" w:hAnsi="Calibri"/>
                <w:b w:val="0"/>
                <w:i w:val="0"/>
                <w:color w:val="000000"/>
                <w:sz w:val="18"/>
              </w:rPr>
              <w:t>JR+ = spost(J+)</w:t>
            </w:r>
          </w:p>
        </w:tc>
      </w:tr>
    </w:tbl>
    <w:p>
      <w:pPr>
        <w:spacing w:before="0" w:after="40" w:line="300" w:lineRule="auto"/>
      </w:pPr>
    </w:p>
    <w:p>
      <w:pPr>
        <w:spacing w:before="0" w:after="120" w:line="300" w:lineRule="auto"/>
      </w:pPr>
      <w:r>
        <w:rPr>
          <w:rFonts w:ascii="Calibri" w:hAnsi="Calibri"/>
          <w:b w:val="0"/>
          <w:i w:val="0"/>
          <w:color w:val="000000"/>
          <w:sz w:val="22"/>
        </w:rPr>
        <w:t>Le signe relatif vient de l'expansion des commutateurs : chaque interaction sur le bra apporte un facteur -1. FrequencyPathway.bra_sign calcule donc (-1)^N_bra.</w:t>
      </w:r>
    </w:p>
    <w:p>
      <w:pPr>
        <w:pStyle w:val="Heading2"/>
      </w:pPr>
      <w:r>
        <w:t>10.2 Rôle de UFSS</w:t>
      </w:r>
    </w:p>
    <w:p>
      <w:pPr>
        <w:spacing w:before="0" w:after="120" w:line="300" w:lineRule="auto"/>
      </w:pPr>
      <w:r>
        <w:rPr>
          <w:rFonts w:ascii="Calibri" w:hAnsi="Calibri"/>
          <w:b w:val="0"/>
          <w:i w:val="0"/>
          <w:color w:val="000000"/>
          <w:sz w:val="22"/>
        </w:rPr>
        <w:t>UFSS décide quelles séquences d'interactions sont causales et compatibles avec une condition de phase. V6 ne demande pas à UFSS de calculer le signal : il traduit seulement la sortie du DiagramGenerator en objets FrequencyPathway, puis utilise ses propres propagateurs fréquentiels.</w:t>
      </w:r>
    </w:p>
    <w:p>
      <w:pPr>
        <w:numPr>
          <w:ilvl w:val="0"/>
          <w:numId w:val="10"/>
        </w:numPr>
      </w:pPr>
      <w:r>
        <w:rPr>
          <w:rFonts w:ascii="Calibri" w:hAnsi="Calibri"/>
          <w:b w:val="0"/>
          <w:i w:val="0"/>
          <w:color w:val="000000"/>
          <w:sz w:val="21"/>
        </w:rPr>
        <w:t>translate_ufss_diagrams : traduit une liste déjà générée.</w:t>
      </w:r>
    </w:p>
    <w:p>
      <w:pPr>
        <w:numPr>
          <w:ilvl w:val="0"/>
          <w:numId w:val="10"/>
        </w:numPr>
      </w:pPr>
      <w:r>
        <w:rPr>
          <w:rFonts w:ascii="Calibri" w:hAnsi="Calibri"/>
          <w:b w:val="0"/>
          <w:i w:val="0"/>
          <w:color w:val="000000"/>
          <w:sz w:val="21"/>
        </w:rPr>
        <w:t>generate_pathways_with_ufss : crée un DiagramGenerator puis traduit sa sortie.</w:t>
      </w:r>
    </w:p>
    <w:p>
      <w:pPr>
        <w:numPr>
          <w:ilvl w:val="0"/>
          <w:numId w:val="10"/>
        </w:numPr>
      </w:pPr>
      <w:r>
        <w:rPr>
          <w:rFonts w:ascii="Calibri" w:hAnsi="Calibri"/>
          <w:b w:val="0"/>
          <w:i w:val="0"/>
          <w:color w:val="000000"/>
          <w:sz w:val="21"/>
        </w:rPr>
        <w:t>set_pathways_from_ufss : traduit et active immédiatement les pathways.</w:t>
      </w:r>
    </w:p>
    <w:p>
      <w:pPr>
        <w:numPr>
          <w:ilvl w:val="0"/>
          <w:numId w:val="10"/>
        </w:numPr>
      </w:pPr>
      <w:r>
        <w:rPr>
          <w:rFonts w:ascii="Calibri" w:hAnsi="Calibri"/>
          <w:b w:val="0"/>
          <w:i w:val="0"/>
          <w:color w:val="000000"/>
          <w:sz w:val="21"/>
        </w:rPr>
        <w:t>configure_standard_2d_pathways_with_ufss : génère rephasing et unrephasing standards.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before="0" w:after="60" w:line="264" w:lineRule="auto"/>
            </w:pPr>
            <w:r>
              <w:rPr>
                <w:rFonts w:ascii="Calibri" w:hAnsi="Calibri"/>
                <w:b/>
                <w:i w:val="0"/>
                <w:color w:val="7A5A00"/>
                <w:sz w:val="21"/>
              </w:rPr>
              <w:t>Limite physique actuelle</w:t>
            </w:r>
          </w:p>
          <w:p>
            <w:pPr>
              <w:spacing w:before="0" w:after="0" w:line="288" w:lineRule="auto"/>
            </w:pPr>
            <w:r>
              <w:rPr>
                <w:rFonts w:ascii="Calibri" w:hAnsi="Calibri"/>
                <w:b w:val="0"/>
                <w:i w:val="0"/>
                <w:color w:val="000000"/>
                <w:sz w:val="20"/>
              </w:rPr>
              <w:t>Le solver reste impulsif et du troisième ordre. Un diagramme doit contenir trois interactions. L'ordre canonique des pulses est (0,1,2); les ordres réarrangés sont refusés par défaut parce que les axes omega1 et omega3 deviendraient ambigus. Les enveloppes finies ne sont pas convoluées.</w:t>
            </w:r>
          </w:p>
        </w:tc>
      </w:tr>
    </w:tbl>
    <w:p>
      <w:pPr>
        <w:spacing w:before="0" w:after="40" w:line="300" w:lineRule="auto"/>
      </w:pPr>
    </w:p>
    <w:p>
      <w:pPr>
        <w:pStyle w:val="Heading1"/>
      </w:pPr>
      <w:r>
        <w:t>11. Calcul d'une réponse et génération des spectres</w:t>
      </w:r>
    </w:p>
    <w:p>
      <w:pPr>
        <w:spacing w:before="0" w:after="60" w:line="240" w:lineRule="auto"/>
        <w:jc w:val="center"/>
      </w:pPr>
      <w:r>
        <w:drawing>
          <wp:inline xmlns:a="http://schemas.openxmlformats.org/drawingml/2006/main" xmlns:pic="http://schemas.openxmlformats.org/drawingml/2006/picture">
            <wp:extent cx="5806440" cy="2167738"/>
            <wp:docPr id="2" name="Picture 2" descr="Chaîne d'évaluation d'un pathway : rho initial, trois interactions, résolvants omega1 et omega3, propagation tau2 et détection." title="Chaîne d'évaluation d'un pathway : rho initial, trois interactions, résolvants omega1 et omega3, propagation tau2 et détection."/>
            <wp:cNvGraphicFramePr>
              <a:graphicFrameLocks noChangeAspect="1"/>
            </wp:cNvGraphicFramePr>
            <a:graphic>
              <a:graphicData uri="http://schemas.openxmlformats.org/drawingml/2006/picture">
                <pic:pic>
                  <pic:nvPicPr>
                    <pic:cNvPr id="0" name="pathway.png"/>
                    <pic:cNvPicPr/>
                  </pic:nvPicPr>
                  <pic:blipFill>
                    <a:blip r:embed="rId12"/>
                    <a:stretch>
                      <a:fillRect/>
                    </a:stretch>
                  </pic:blipFill>
                  <pic:spPr>
                    <a:xfrm>
                      <a:off x="0" y="0"/>
                      <a:ext cx="5806440" cy="2167738"/>
                    </a:xfrm>
                    <a:prstGeom prst="rect"/>
                  </pic:spPr>
                </pic:pic>
              </a:graphicData>
            </a:graphic>
          </wp:inline>
        </w:drawing>
      </w:r>
    </w:p>
    <w:p>
      <w:pPr>
        <w:pStyle w:val="Caption"/>
        <w:keepNext w:val="0"/>
      </w:pPr>
      <w:r>
        <w:t>Figure 2 — Séquence commune aux backends dense et sparse pour un pathway.</w:t>
      </w:r>
    </w:p>
    <w:p>
      <w:pPr>
        <w:pStyle w:val="Heading2"/>
      </w:pPr>
      <w:r>
        <w:t>11.1 calc_pathway</w:t>
      </w:r>
    </w:p>
    <w:p>
      <w:pPr>
        <w:spacing w:before="0" w:after="120" w:line="300" w:lineRule="auto"/>
      </w:pPr>
      <w:r>
        <w:rPr>
          <w:rFonts w:ascii="Calibri" w:hAnsi="Calibri"/>
          <w:b w:val="0"/>
          <w:i w:val="0"/>
          <w:color w:val="000000"/>
          <w:sz w:val="22"/>
        </w:rPr>
        <w:t>calc_pathway est le moteur générique de V6. Il résout d'abord le nom du pathway, sélectionne les quatre superopérateurs possibles, applique trois interactions séparées par G1, G2 et G3, puis applique l'opérateur de sortie et la trace.</w:t>
      </w:r>
    </w:p>
    <w:p>
      <w:pPr>
        <w:pStyle w:val="Heading2"/>
      </w:pPr>
      <w:r>
        <w:t>11.2 calc_rephasing et calc_unrephasing</w:t>
      </w:r>
    </w:p>
    <w:p>
      <w:pPr>
        <w:spacing w:before="0" w:after="120" w:line="300" w:lineRule="auto"/>
      </w:pPr>
      <w:r>
        <w:rPr>
          <w:rFonts w:ascii="Calibri" w:hAnsi="Calibri"/>
          <w:b w:val="0"/>
          <w:i w:val="0"/>
          <w:color w:val="000000"/>
          <w:sz w:val="22"/>
        </w:rPr>
        <w:t>Ces méthodes ne contiennent plus directement R1-R6. Elles filtrent self.pathways selon le champ component et additionnent calc_pathway pour chaque diagramme actif.</w:t>
      </w:r>
    </w:p>
    <w:p>
      <w:pPr>
        <w:pStyle w:val="Heading2"/>
      </w:pPr>
      <w:r>
        <w:t>11.3 generate_2D_spectra</w:t>
      </w:r>
    </w:p>
    <w:p>
      <w:pPr>
        <w:spacing w:before="0" w:after="120" w:line="300" w:lineRule="auto"/>
      </w:pPr>
      <w:r>
        <w:rPr>
          <w:rFonts w:ascii="Calibri" w:hAnsi="Calibri"/>
          <w:b w:val="0"/>
          <w:i w:val="0"/>
          <w:color w:val="000000"/>
          <w:sz w:val="22"/>
        </w:rPr>
        <w:t>La grille carrée utilise w_list pour omega1 et omega3. Chaque point produit une réponse par k, ensuite sommée et multipliée par dk/(2 pi) lorsque k_array est fourni.</w:t>
      </w:r>
    </w:p>
    <w:p>
      <w:pPr>
        <w:numPr>
          <w:ilvl w:val="0"/>
          <w:numId w:val="10"/>
        </w:numPr>
      </w:pPr>
      <w:r>
        <w:rPr>
          <w:rFonts w:ascii="Calibri" w:hAnsi="Calibri"/>
          <w:b w:val="0"/>
          <w:i w:val="0"/>
          <w:color w:val="000000"/>
          <w:sz w:val="21"/>
        </w:rPr>
        <w:t>Retour rephasing si demandé.</w:t>
      </w:r>
    </w:p>
    <w:p>
      <w:pPr>
        <w:numPr>
          <w:ilvl w:val="0"/>
          <w:numId w:val="10"/>
        </w:numPr>
      </w:pPr>
      <w:r>
        <w:rPr>
          <w:rFonts w:ascii="Calibri" w:hAnsi="Calibri"/>
          <w:b w:val="0"/>
          <w:i w:val="0"/>
          <w:color w:val="000000"/>
          <w:sz w:val="21"/>
        </w:rPr>
        <w:t>Retour unrephasing si demandé.</w:t>
      </w:r>
    </w:p>
    <w:p>
      <w:pPr>
        <w:numPr>
          <w:ilvl w:val="0"/>
          <w:numId w:val="10"/>
        </w:numPr>
      </w:pPr>
      <w:r>
        <w:rPr>
          <w:rFonts w:ascii="Calibri" w:hAnsi="Calibri"/>
          <w:b w:val="0"/>
          <w:i w:val="0"/>
          <w:color w:val="000000"/>
          <w:sz w:val="21"/>
        </w:rPr>
        <w:t>Retour absorptive = rephasing + unrephasing uniquement pour spectrum_components='both'.</w:t>
      </w:r>
    </w:p>
    <w:p>
      <w:pPr>
        <w:pStyle w:val="Heading2"/>
      </w:pPr>
      <w:r>
        <w:t>11.4 Deux chemins d'exécution</w:t>
      </w:r>
    </w:p>
    <w:tbl>
      <w:tblPr>
        <w:tblStyle w:val="TableGrid"/>
        <w:tblW w:type="dxa" w:w="9360"/>
        <w:jc w:val="left"/>
        <w:tblLayout w:type="fixed"/>
        <w:tblLook w:firstColumn="1" w:firstRow="1" w:lastColumn="0" w:lastRow="0" w:noHBand="0" w:noVBand="1" w:val="04A0"/>
        <w:tblInd w:w="120" w:type="dxa"/>
      </w:tblPr>
      <w:tblGrid>
        <w:gridCol w:w="2750"/>
        <w:gridCol w:w="3200"/>
        <w:gridCol w:w="3410"/>
      </w:tblGrid>
      <w:tr>
        <w:trPr>
          <w:tblHeader w:val="true"/>
        </w:trPr>
        <w:tc>
          <w:tcPr>
            <w:tcW w:type="dxa" w:w="275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7"/>
              </w:rPr>
              <w:t>Condition</w:t>
            </w:r>
          </w:p>
        </w:tc>
        <w:tc>
          <w:tcPr>
            <w:tcW w:type="dxa" w:w="320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7"/>
              </w:rPr>
              <w:t>Chemin utilisé</w:t>
            </w:r>
          </w:p>
        </w:tc>
        <w:tc>
          <w:tcPr>
            <w:tcW w:type="dxa" w:w="341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7"/>
              </w:rPr>
              <w:t>Pourquoi</w:t>
            </w:r>
          </w:p>
        </w:tc>
      </w:tr>
      <w:tr>
        <w:tc>
          <w:tcPr>
            <w:tcW w:type="dxa" w:w="2750"/>
          </w:tcPr>
          <w:p>
            <w:pPr>
              <w:spacing w:before="0" w:after="0" w:line="264" w:lineRule="auto"/>
              <w:jc w:val="left"/>
            </w:pPr>
            <w:r>
              <w:rPr>
                <w:rFonts w:ascii="Calibri" w:hAnsi="Calibri"/>
                <w:b w:val="0"/>
                <w:i w:val="0"/>
                <w:color w:val="000000"/>
                <w:sz w:val="17"/>
              </w:rPr>
              <w:t>Dense + pathways standards + serial/threading</w:t>
            </w:r>
          </w:p>
        </w:tc>
        <w:tc>
          <w:tcPr>
            <w:tcW w:type="dxa" w:w="3200"/>
          </w:tcPr>
          <w:p>
            <w:pPr>
              <w:spacing w:before="0" w:after="0" w:line="264" w:lineRule="auto"/>
              <w:jc w:val="left"/>
            </w:pPr>
            <w:r>
              <w:rPr>
                <w:rFonts w:ascii="Calibri" w:hAnsi="Calibri"/>
                <w:b w:val="0"/>
                <w:i w:val="0"/>
                <w:color w:val="000000"/>
                <w:sz w:val="17"/>
              </w:rPr>
              <w:t>_generate_2D_spectra_dense</w:t>
            </w:r>
          </w:p>
        </w:tc>
        <w:tc>
          <w:tcPr>
            <w:tcW w:type="dxa" w:w="3410"/>
          </w:tcPr>
          <w:p>
            <w:pPr>
              <w:spacing w:before="0" w:after="0" w:line="264" w:lineRule="auto"/>
              <w:jc w:val="left"/>
            </w:pPr>
            <w:r>
              <w:rPr>
                <w:rFonts w:ascii="Calibri" w:hAnsi="Calibri"/>
                <w:b w:val="0"/>
                <w:i w:val="0"/>
                <w:color w:val="000000"/>
                <w:sz w:val="17"/>
              </w:rPr>
              <w:t>Réutilise les RHS dépendant seulement de omega1.</w:t>
            </w:r>
          </w:p>
        </w:tc>
      </w:tr>
      <w:tr>
        <w:tc>
          <w:tcPr>
            <w:tcW w:type="dxa" w:w="2750"/>
          </w:tcPr>
          <w:p>
            <w:pPr>
              <w:spacing w:before="0" w:after="0" w:line="264" w:lineRule="auto"/>
              <w:jc w:val="left"/>
            </w:pPr>
            <w:r>
              <w:rPr>
                <w:rFonts w:ascii="Calibri" w:hAnsi="Calibri"/>
                <w:b w:val="0"/>
                <w:i w:val="0"/>
                <w:color w:val="000000"/>
                <w:sz w:val="17"/>
              </w:rPr>
              <w:t>Pathways personnalisés</w:t>
            </w:r>
          </w:p>
        </w:tc>
        <w:tc>
          <w:tcPr>
            <w:tcW w:type="dxa" w:w="3200"/>
          </w:tcPr>
          <w:p>
            <w:pPr>
              <w:spacing w:before="0" w:after="0" w:line="264" w:lineRule="auto"/>
              <w:jc w:val="left"/>
            </w:pPr>
            <w:r>
              <w:rPr>
                <w:rFonts w:ascii="Calibri" w:hAnsi="Calibri"/>
                <w:b w:val="0"/>
                <w:i w:val="0"/>
                <w:color w:val="000000"/>
                <w:sz w:val="17"/>
              </w:rPr>
              <w:t>_calc_w3_column -&gt; calc_pathway</w:t>
            </w:r>
          </w:p>
        </w:tc>
        <w:tc>
          <w:tcPr>
            <w:tcW w:type="dxa" w:w="3410"/>
          </w:tcPr>
          <w:p>
            <w:pPr>
              <w:spacing w:before="0" w:after="0" w:line="264" w:lineRule="auto"/>
              <w:jc w:val="left"/>
            </w:pPr>
            <w:r>
              <w:rPr>
                <w:rFonts w:ascii="Calibri" w:hAnsi="Calibri"/>
                <w:b w:val="0"/>
                <w:i w:val="0"/>
                <w:color w:val="000000"/>
                <w:sz w:val="17"/>
              </w:rPr>
              <w:t>La séquence ne peut pas être supposée.</w:t>
            </w:r>
          </w:p>
        </w:tc>
      </w:tr>
      <w:tr>
        <w:tc>
          <w:tcPr>
            <w:tcW w:type="dxa" w:w="2750"/>
          </w:tcPr>
          <w:p>
            <w:pPr>
              <w:spacing w:before="0" w:after="0" w:line="264" w:lineRule="auto"/>
              <w:jc w:val="left"/>
            </w:pPr>
            <w:r>
              <w:rPr>
                <w:rFonts w:ascii="Calibri" w:hAnsi="Calibri"/>
                <w:b w:val="0"/>
                <w:i w:val="0"/>
                <w:color w:val="000000"/>
                <w:sz w:val="17"/>
              </w:rPr>
              <w:t>Backend sparse</w:t>
            </w:r>
          </w:p>
        </w:tc>
        <w:tc>
          <w:tcPr>
            <w:tcW w:type="dxa" w:w="3200"/>
          </w:tcPr>
          <w:p>
            <w:pPr>
              <w:spacing w:before="0" w:after="0" w:line="264" w:lineRule="auto"/>
              <w:jc w:val="left"/>
            </w:pPr>
            <w:r>
              <w:rPr>
                <w:rFonts w:ascii="Calibri" w:hAnsi="Calibri"/>
                <w:b w:val="0"/>
                <w:i w:val="0"/>
                <w:color w:val="000000"/>
                <w:sz w:val="17"/>
              </w:rPr>
              <w:t>_calc_w3_column -&gt; calc_pathway</w:t>
            </w:r>
          </w:p>
        </w:tc>
        <w:tc>
          <w:tcPr>
            <w:tcW w:type="dxa" w:w="3410"/>
          </w:tcPr>
          <w:p>
            <w:pPr>
              <w:spacing w:before="0" w:after="0" w:line="264" w:lineRule="auto"/>
              <w:jc w:val="left"/>
            </w:pPr>
            <w:r>
              <w:rPr>
                <w:rFonts w:ascii="Calibri" w:hAnsi="Calibri"/>
                <w:b w:val="0"/>
                <w:i w:val="0"/>
                <w:color w:val="000000"/>
                <w:sz w:val="17"/>
              </w:rPr>
              <w:t>Résolution par k et par fréquence.</w:t>
            </w:r>
          </w:p>
        </w:tc>
      </w:tr>
      <w:tr>
        <w:tc>
          <w:tcPr>
            <w:tcW w:type="dxa" w:w="2750"/>
          </w:tcPr>
          <w:p>
            <w:pPr>
              <w:spacing w:before="0" w:after="0" w:line="264" w:lineRule="auto"/>
              <w:jc w:val="left"/>
            </w:pPr>
            <w:r>
              <w:rPr>
                <w:rFonts w:ascii="Calibri" w:hAnsi="Calibri"/>
                <w:b w:val="0"/>
                <w:i w:val="0"/>
                <w:color w:val="000000"/>
                <w:sz w:val="17"/>
              </w:rPr>
              <w:t>Backend process explicite</w:t>
            </w:r>
          </w:p>
        </w:tc>
        <w:tc>
          <w:tcPr>
            <w:tcW w:type="dxa" w:w="3200"/>
          </w:tcPr>
          <w:p>
            <w:pPr>
              <w:spacing w:before="0" w:after="0" w:line="264" w:lineRule="auto"/>
              <w:jc w:val="center"/>
            </w:pPr>
            <w:r>
              <w:rPr>
                <w:rFonts w:ascii="Calibri" w:hAnsi="Calibri"/>
                <w:b w:val="0"/>
                <w:i w:val="0"/>
                <w:color w:val="000000"/>
                <w:sz w:val="17"/>
              </w:rPr>
              <w:t>Chemin générique</w:t>
            </w:r>
          </w:p>
        </w:tc>
        <w:tc>
          <w:tcPr>
            <w:tcW w:type="dxa" w:w="3410"/>
          </w:tcPr>
          <w:p>
            <w:pPr>
              <w:spacing w:before="0" w:after="0" w:line="264" w:lineRule="auto"/>
              <w:jc w:val="left"/>
            </w:pPr>
            <w:r>
              <w:rPr>
                <w:rFonts w:ascii="Calibri" w:hAnsi="Calibri"/>
                <w:b w:val="0"/>
                <w:i w:val="0"/>
                <w:color w:val="000000"/>
                <w:sz w:val="17"/>
              </w:rPr>
              <w:t>Le chemin dense optimisé ne gère que serial/threading.</w:t>
            </w:r>
          </w:p>
        </w:tc>
      </w:tr>
    </w:tbl>
    <w:p>
      <w:pPr>
        <w:spacing w:before="0" w:after="40" w:line="300" w:lineRule="auto"/>
      </w:pPr>
    </w:p>
    <w:p>
      <w:pPr>
        <w:pStyle w:val="Heading2"/>
      </w:pPr>
      <w:r>
        <w:t>11.5 generate_2D_pathways</w:t>
      </w:r>
    </w:p>
    <w:p>
      <w:pPr>
        <w:spacing w:before="0" w:after="120" w:line="300" w:lineRule="auto"/>
      </w:pPr>
      <w:r>
        <w:rPr>
          <w:rFonts w:ascii="Calibri" w:hAnsi="Calibri"/>
          <w:b w:val="0"/>
          <w:i w:val="0"/>
          <w:color w:val="000000"/>
          <w:sz w:val="22"/>
        </w:rPr>
        <w:t>Cette méthode retourne une matrice complexe séparée pour chaque pathway. Elle est volontairement simple et exécute actuellement trois boucles Python (omega3, omega1, pathway); elle n'utilise pas les workers. Elle sert surtout à l'analyse R1/R2/... et peut coûter davantage que le spectre total.</w:t>
      </w:r>
    </w:p>
    <w:p>
      <w:pPr>
        <w:pStyle w:val="Heading1"/>
      </w:pPr>
      <w:r>
        <w:t>12. Workers, threads et processus</w:t>
      </w:r>
    </w:p>
    <w:p>
      <w:pPr>
        <w:spacing w:before="0" w:after="60" w:line="240" w:lineRule="auto"/>
        <w:jc w:val="center"/>
      </w:pPr>
      <w:r>
        <w:drawing>
          <wp:inline xmlns:a="http://schemas.openxmlformats.org/drawingml/2006/main" xmlns:pic="http://schemas.openxmlformats.org/drawingml/2006/picture">
            <wp:extent cx="5806440" cy="3174187"/>
            <wp:docPr id="3" name="Picture 3" descr="Schéma du découpage de la grille en blocs de colonnes omega3 distribués en mode serial, threading ou processus." title="Schéma du découpage de la grille en blocs de colonnes omega3 distribués en mode serial, threading ou processus."/>
            <wp:cNvGraphicFramePr>
              <a:graphicFrameLocks noChangeAspect="1"/>
            </wp:cNvGraphicFramePr>
            <a:graphic>
              <a:graphicData uri="http://schemas.openxmlformats.org/drawingml/2006/picture">
                <pic:pic>
                  <pic:nvPicPr>
                    <pic:cNvPr id="0" name="parallel.png"/>
                    <pic:cNvPicPr/>
                  </pic:nvPicPr>
                  <pic:blipFill>
                    <a:blip r:embed="rId13"/>
                    <a:stretch>
                      <a:fillRect/>
                    </a:stretch>
                  </pic:blipFill>
                  <pic:spPr>
                    <a:xfrm>
                      <a:off x="0" y="0"/>
                      <a:ext cx="5806440" cy="3174187"/>
                    </a:xfrm>
                    <a:prstGeom prst="rect"/>
                  </pic:spPr>
                </pic:pic>
              </a:graphicData>
            </a:graphic>
          </wp:inline>
        </w:drawing>
      </w:r>
    </w:p>
    <w:p>
      <w:pPr>
        <w:pStyle w:val="Caption"/>
        <w:keepNext w:val="0"/>
      </w:pPr>
      <w:r>
        <w:t>Figure 3 — Les workers ne changent pas la physique; ils répartissent les colonnes omega3.</w:t>
      </w:r>
    </w:p>
    <w:p>
      <w:pPr>
        <w:pStyle w:val="Heading2"/>
      </w:pPr>
      <w:r>
        <w:t>12.1 Pourquoi la colonne omega3 est l'unité de travail</w:t>
      </w:r>
    </w:p>
    <w:p>
      <w:pPr>
        <w:spacing w:before="0" w:after="120" w:line="300" w:lineRule="auto"/>
      </w:pPr>
      <w:r>
        <w:rPr>
          <w:rFonts w:ascii="Calibri" w:hAnsi="Calibri"/>
          <w:b w:val="0"/>
          <w:i w:val="0"/>
          <w:color w:val="000000"/>
          <w:sz w:val="22"/>
        </w:rPr>
        <w:t>Pour une valeur fixe de omega3, _calc_w3_column parcourt toutes les valeurs de omega1 et construit une colonne complète. Deux colonnes ne dépendent pas l'une de l'autre : elles peuvent donc être calculées simultanément sans modifier le résultat mathématique.</w:t>
      </w:r>
    </w:p>
    <w:p>
      <w:pPr>
        <w:pStyle w:val="Heading2"/>
      </w:pPr>
      <w:r>
        <w:t>12.2 Le rôle de block_size</w:t>
      </w:r>
    </w:p>
    <w:p>
      <w:pPr>
        <w:spacing w:before="0" w:after="120" w:line="300" w:lineRule="auto"/>
      </w:pPr>
      <w:r>
        <w:rPr>
          <w:rFonts w:ascii="Calibri" w:hAnsi="Calibri"/>
          <w:b w:val="0"/>
          <w:i w:val="0"/>
          <w:color w:val="000000"/>
          <w:sz w:val="22"/>
        </w:rPr>
        <w:t>_make_w3_blocks regroupe plusieurs indices de colonnes. Sans block_size explicite, la classe vise environ quatre tâches par worker. Des blocs trop petits augmentent le coût d'ordonnancement; des blocs trop grands réduisent l'équilibrage de charge.</w:t>
      </w:r>
    </w:p>
    <w:p>
      <w:pPr>
        <w:pStyle w:val="Heading2"/>
      </w:pPr>
      <w:r>
        <w:t>12.3 Comparaison des backends parallèles</w:t>
      </w:r>
    </w:p>
    <w:tbl>
      <w:tblPr>
        <w:tblStyle w:val="TableGrid"/>
        <w:tblW w:type="dxa" w:w="9360"/>
        <w:jc w:val="left"/>
        <w:tblLayout w:type="fixed"/>
        <w:tblLook w:firstColumn="1" w:firstRow="1" w:lastColumn="0" w:lastRow="0" w:noHBand="0" w:noVBand="1" w:val="04A0"/>
        <w:tblInd w:w="120" w:type="dxa"/>
      </w:tblPr>
      <w:tblGrid>
        <w:gridCol w:w="1800"/>
        <w:gridCol w:w="2000"/>
        <w:gridCol w:w="2000"/>
        <w:gridCol w:w="3560"/>
      </w:tblGrid>
      <w:tr>
        <w:trPr>
          <w:tblHeader w:val="true"/>
        </w:trPr>
        <w:tc>
          <w:tcPr>
            <w:tcW w:type="dxa" w:w="180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7"/>
              </w:rPr>
              <w:t>Backend</w:t>
            </w:r>
          </w:p>
        </w:tc>
        <w:tc>
          <w:tcPr>
            <w:tcW w:type="dxa" w:w="200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7"/>
              </w:rPr>
              <w:t>Mémoire</w:t>
            </w:r>
          </w:p>
        </w:tc>
        <w:tc>
          <w:tcPr>
            <w:tcW w:type="dxa" w:w="200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7"/>
              </w:rPr>
              <w:t>Coût de lancement</w:t>
            </w:r>
          </w:p>
        </w:tc>
        <w:tc>
          <w:tcPr>
            <w:tcW w:type="dxa" w:w="356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7"/>
              </w:rPr>
              <w:t>Usage conseillé</w:t>
            </w:r>
          </w:p>
        </w:tc>
      </w:tr>
      <w:tr>
        <w:tc>
          <w:tcPr>
            <w:tcW w:type="dxa" w:w="1800"/>
          </w:tcPr>
          <w:p>
            <w:pPr>
              <w:spacing w:before="0" w:after="0" w:line="264" w:lineRule="auto"/>
              <w:jc w:val="left"/>
            </w:pPr>
            <w:r>
              <w:rPr>
                <w:rFonts w:ascii="Calibri" w:hAnsi="Calibri"/>
                <w:b w:val="0"/>
                <w:i w:val="0"/>
                <w:color w:val="000000"/>
                <w:sz w:val="17"/>
              </w:rPr>
              <w:t>serial</w:t>
            </w:r>
          </w:p>
        </w:tc>
        <w:tc>
          <w:tcPr>
            <w:tcW w:type="dxa" w:w="2000"/>
          </w:tcPr>
          <w:p>
            <w:pPr>
              <w:spacing w:before="0" w:after="0" w:line="264" w:lineRule="auto"/>
              <w:jc w:val="center"/>
            </w:pPr>
            <w:r>
              <w:rPr>
                <w:rFonts w:ascii="Calibri" w:hAnsi="Calibri"/>
                <w:b w:val="0"/>
                <w:i w:val="0"/>
                <w:color w:val="000000"/>
                <w:sz w:val="17"/>
              </w:rPr>
              <w:t>Une copie</w:t>
            </w:r>
          </w:p>
        </w:tc>
        <w:tc>
          <w:tcPr>
            <w:tcW w:type="dxa" w:w="2000"/>
          </w:tcPr>
          <w:p>
            <w:pPr>
              <w:spacing w:before="0" w:after="0" w:line="264" w:lineRule="auto"/>
              <w:jc w:val="center"/>
            </w:pPr>
            <w:r>
              <w:rPr>
                <w:rFonts w:ascii="Calibri" w:hAnsi="Calibri"/>
                <w:b w:val="0"/>
                <w:i w:val="0"/>
                <w:color w:val="000000"/>
                <w:sz w:val="17"/>
              </w:rPr>
              <w:t>Minimal</w:t>
            </w:r>
          </w:p>
        </w:tc>
        <w:tc>
          <w:tcPr>
            <w:tcW w:type="dxa" w:w="3560"/>
          </w:tcPr>
          <w:p>
            <w:pPr>
              <w:spacing w:before="0" w:after="0" w:line="264" w:lineRule="auto"/>
              <w:jc w:val="left"/>
            </w:pPr>
            <w:r>
              <w:rPr>
                <w:rFonts w:ascii="Calibri" w:hAnsi="Calibri"/>
                <w:b w:val="0"/>
                <w:i w:val="0"/>
                <w:color w:val="000000"/>
                <w:sz w:val="17"/>
              </w:rPr>
              <w:t>Référence, débogage, petits modèles</w:t>
            </w:r>
          </w:p>
        </w:tc>
      </w:tr>
      <w:tr>
        <w:tc>
          <w:tcPr>
            <w:tcW w:type="dxa" w:w="1800"/>
          </w:tcPr>
          <w:p>
            <w:pPr>
              <w:spacing w:before="0" w:after="0" w:line="264" w:lineRule="auto"/>
              <w:jc w:val="left"/>
            </w:pPr>
            <w:r>
              <w:rPr>
                <w:rFonts w:ascii="Calibri" w:hAnsi="Calibri"/>
                <w:b w:val="0"/>
                <w:i w:val="0"/>
                <w:color w:val="000000"/>
                <w:sz w:val="17"/>
              </w:rPr>
              <w:t>threading</w:t>
            </w:r>
          </w:p>
        </w:tc>
        <w:tc>
          <w:tcPr>
            <w:tcW w:type="dxa" w:w="2000"/>
          </w:tcPr>
          <w:p>
            <w:pPr>
              <w:spacing w:before="0" w:after="0" w:line="264" w:lineRule="auto"/>
              <w:jc w:val="center"/>
            </w:pPr>
            <w:r>
              <w:rPr>
                <w:rFonts w:ascii="Calibri" w:hAnsi="Calibri"/>
                <w:b w:val="0"/>
                <w:i w:val="0"/>
                <w:color w:val="000000"/>
                <w:sz w:val="17"/>
              </w:rPr>
              <w:t>Mémoire partagée</w:t>
            </w:r>
          </w:p>
        </w:tc>
        <w:tc>
          <w:tcPr>
            <w:tcW w:type="dxa" w:w="2000"/>
          </w:tcPr>
          <w:p>
            <w:pPr>
              <w:spacing w:before="0" w:after="0" w:line="264" w:lineRule="auto"/>
              <w:jc w:val="center"/>
            </w:pPr>
            <w:r>
              <w:rPr>
                <w:rFonts w:ascii="Calibri" w:hAnsi="Calibri"/>
                <w:b w:val="0"/>
                <w:i w:val="0"/>
                <w:color w:val="000000"/>
                <w:sz w:val="17"/>
              </w:rPr>
              <w:t>Faible</w:t>
            </w:r>
          </w:p>
        </w:tc>
        <w:tc>
          <w:tcPr>
            <w:tcW w:type="dxa" w:w="3560"/>
          </w:tcPr>
          <w:p>
            <w:pPr>
              <w:spacing w:before="0" w:after="0" w:line="264" w:lineRule="auto"/>
              <w:jc w:val="left"/>
            </w:pPr>
            <w:r>
              <w:rPr>
                <w:rFonts w:ascii="Calibri" w:hAnsi="Calibri"/>
                <w:b w:val="0"/>
                <w:i w:val="0"/>
                <w:color w:val="000000"/>
                <w:sz w:val="17"/>
              </w:rPr>
              <w:t>Dense NumPy/SciPy; premier choix à tester</w:t>
            </w:r>
          </w:p>
        </w:tc>
      </w:tr>
      <w:tr>
        <w:tc>
          <w:tcPr>
            <w:tcW w:type="dxa" w:w="1800"/>
          </w:tcPr>
          <w:p>
            <w:pPr>
              <w:spacing w:before="0" w:after="0" w:line="264" w:lineRule="auto"/>
              <w:jc w:val="left"/>
            </w:pPr>
            <w:r>
              <w:rPr>
                <w:rFonts w:ascii="Calibri" w:hAnsi="Calibri"/>
                <w:b w:val="0"/>
                <w:i w:val="0"/>
                <w:color w:val="000000"/>
                <w:sz w:val="17"/>
              </w:rPr>
              <w:t>loky</w:t>
            </w:r>
          </w:p>
        </w:tc>
        <w:tc>
          <w:tcPr>
            <w:tcW w:type="dxa" w:w="2000"/>
          </w:tcPr>
          <w:p>
            <w:pPr>
              <w:spacing w:before="0" w:after="0" w:line="264" w:lineRule="auto"/>
              <w:jc w:val="center"/>
            </w:pPr>
            <w:r>
              <w:rPr>
                <w:rFonts w:ascii="Calibri" w:hAnsi="Calibri"/>
                <w:b w:val="0"/>
                <w:i w:val="0"/>
                <w:color w:val="000000"/>
                <w:sz w:val="17"/>
              </w:rPr>
              <w:t>Processus séparés</w:t>
            </w:r>
          </w:p>
        </w:tc>
        <w:tc>
          <w:tcPr>
            <w:tcW w:type="dxa" w:w="2000"/>
          </w:tcPr>
          <w:p>
            <w:pPr>
              <w:spacing w:before="0" w:after="0" w:line="264" w:lineRule="auto"/>
              <w:jc w:val="center"/>
            </w:pPr>
            <w:r>
              <w:rPr>
                <w:rFonts w:ascii="Calibri" w:hAnsi="Calibri"/>
                <w:b w:val="0"/>
                <w:i w:val="0"/>
                <w:color w:val="000000"/>
                <w:sz w:val="17"/>
              </w:rPr>
              <w:t>Élevé</w:t>
            </w:r>
          </w:p>
        </w:tc>
        <w:tc>
          <w:tcPr>
            <w:tcW w:type="dxa" w:w="3560"/>
          </w:tcPr>
          <w:p>
            <w:pPr>
              <w:spacing w:before="0" w:after="0" w:line="264" w:lineRule="auto"/>
              <w:jc w:val="left"/>
            </w:pPr>
            <w:r>
              <w:rPr>
                <w:rFonts w:ascii="Calibri" w:hAnsi="Calibri"/>
                <w:b w:val="0"/>
                <w:i w:val="0"/>
                <w:color w:val="000000"/>
                <w:sz w:val="17"/>
              </w:rPr>
              <w:t>Calcul CPU lourd si la sérialisation reste acceptable</w:t>
            </w:r>
          </w:p>
        </w:tc>
      </w:tr>
      <w:tr>
        <w:tc>
          <w:tcPr>
            <w:tcW w:type="dxa" w:w="1800"/>
          </w:tcPr>
          <w:p>
            <w:pPr>
              <w:spacing w:before="0" w:after="0" w:line="264" w:lineRule="auto"/>
              <w:jc w:val="left"/>
            </w:pPr>
            <w:r>
              <w:rPr>
                <w:rFonts w:ascii="Calibri" w:hAnsi="Calibri"/>
                <w:b w:val="0"/>
                <w:i w:val="0"/>
                <w:color w:val="000000"/>
                <w:sz w:val="17"/>
              </w:rPr>
              <w:t>multiprocessing</w:t>
            </w:r>
          </w:p>
        </w:tc>
        <w:tc>
          <w:tcPr>
            <w:tcW w:type="dxa" w:w="2000"/>
          </w:tcPr>
          <w:p>
            <w:pPr>
              <w:spacing w:before="0" w:after="0" w:line="264" w:lineRule="auto"/>
              <w:jc w:val="center"/>
            </w:pPr>
            <w:r>
              <w:rPr>
                <w:rFonts w:ascii="Calibri" w:hAnsi="Calibri"/>
                <w:b w:val="0"/>
                <w:i w:val="0"/>
                <w:color w:val="000000"/>
                <w:sz w:val="17"/>
              </w:rPr>
              <w:t>Processus séparés</w:t>
            </w:r>
          </w:p>
        </w:tc>
        <w:tc>
          <w:tcPr>
            <w:tcW w:type="dxa" w:w="2000"/>
          </w:tcPr>
          <w:p>
            <w:pPr>
              <w:spacing w:before="0" w:after="0" w:line="264" w:lineRule="auto"/>
              <w:jc w:val="center"/>
            </w:pPr>
            <w:r>
              <w:rPr>
                <w:rFonts w:ascii="Calibri" w:hAnsi="Calibri"/>
                <w:b w:val="0"/>
                <w:i w:val="0"/>
                <w:color w:val="000000"/>
                <w:sz w:val="17"/>
              </w:rPr>
              <w:t>Élevé</w:t>
            </w:r>
          </w:p>
        </w:tc>
        <w:tc>
          <w:tcPr>
            <w:tcW w:type="dxa" w:w="3560"/>
          </w:tcPr>
          <w:p>
            <w:pPr>
              <w:spacing w:before="0" w:after="0" w:line="264" w:lineRule="auto"/>
              <w:jc w:val="left"/>
            </w:pPr>
            <w:r>
              <w:rPr>
                <w:rFonts w:ascii="Calibri" w:hAnsi="Calibri"/>
                <w:b w:val="0"/>
                <w:i w:val="0"/>
                <w:color w:val="000000"/>
                <w:sz w:val="17"/>
              </w:rPr>
              <w:t>Alternative joblib dépendante de la plateforme</w:t>
            </w:r>
          </w:p>
        </w:tc>
      </w:tr>
      <w:tr>
        <w:tc>
          <w:tcPr>
            <w:tcW w:type="dxa" w:w="1800"/>
          </w:tcPr>
          <w:p>
            <w:pPr>
              <w:spacing w:before="0" w:after="0" w:line="264" w:lineRule="auto"/>
              <w:jc w:val="left"/>
            </w:pPr>
            <w:r>
              <w:rPr>
                <w:rFonts w:ascii="Calibri" w:hAnsi="Calibri"/>
                <w:b w:val="0"/>
                <w:i w:val="0"/>
                <w:color w:val="000000"/>
                <w:sz w:val="17"/>
              </w:rPr>
              <w:t>process</w:t>
            </w:r>
          </w:p>
        </w:tc>
        <w:tc>
          <w:tcPr>
            <w:tcW w:type="dxa" w:w="2000"/>
          </w:tcPr>
          <w:p>
            <w:pPr>
              <w:spacing w:before="0" w:after="0" w:line="264" w:lineRule="auto"/>
              <w:jc w:val="left"/>
            </w:pPr>
            <w:r>
              <w:rPr>
                <w:rFonts w:ascii="Calibri" w:hAnsi="Calibri"/>
                <w:b w:val="0"/>
                <w:i w:val="0"/>
                <w:color w:val="000000"/>
                <w:sz w:val="17"/>
              </w:rPr>
              <w:t>Une copie du solver par worker</w:t>
            </w:r>
          </w:p>
        </w:tc>
        <w:tc>
          <w:tcPr>
            <w:tcW w:type="dxa" w:w="2000"/>
          </w:tcPr>
          <w:p>
            <w:pPr>
              <w:spacing w:before="0" w:after="0" w:line="264" w:lineRule="auto"/>
              <w:jc w:val="center"/>
            </w:pPr>
            <w:r>
              <w:rPr>
                <w:rFonts w:ascii="Calibri" w:hAnsi="Calibri"/>
                <w:b w:val="0"/>
                <w:i w:val="0"/>
                <w:color w:val="000000"/>
                <w:sz w:val="17"/>
              </w:rPr>
              <w:t>Élevé au démarrage</w:t>
            </w:r>
          </w:p>
        </w:tc>
        <w:tc>
          <w:tcPr>
            <w:tcW w:type="dxa" w:w="3560"/>
          </w:tcPr>
          <w:p>
            <w:pPr>
              <w:spacing w:before="0" w:after="0" w:line="264" w:lineRule="auto"/>
              <w:jc w:val="left"/>
            </w:pPr>
            <w:r>
              <w:rPr>
                <w:rFonts w:ascii="Calibri" w:hAnsi="Calibri"/>
                <w:b w:val="0"/>
                <w:i w:val="0"/>
                <w:color w:val="000000"/>
                <w:sz w:val="17"/>
              </w:rPr>
              <w:t>Évite de renvoyer le solver avec chaque bloc</w:t>
            </w:r>
          </w:p>
        </w:tc>
      </w:tr>
    </w:tbl>
    <w:p>
      <w:pPr>
        <w:spacing w:before="0" w:after="40" w:line="300" w:lineRule="auto"/>
      </w:pPr>
    </w:p>
    <w:p>
      <w:pPr>
        <w:pStyle w:val="Heading2"/>
      </w:pPr>
      <w:r>
        <w:t>12.4 Pourquoi threading peut accélérer malgré le GIL</w:t>
      </w:r>
    </w:p>
    <w:p>
      <w:pPr>
        <w:spacing w:before="0" w:after="120" w:line="300" w:lineRule="auto"/>
      </w:pPr>
      <w:r>
        <w:rPr>
          <w:rFonts w:ascii="Calibri" w:hAnsi="Calibri"/>
          <w:b w:val="0"/>
          <w:i w:val="0"/>
          <w:color w:val="000000"/>
          <w:sz w:val="22"/>
        </w:rPr>
        <w:t>La plupart des inversions, multiplications et opérations SciPy/NumPy sont exécutées dans du code compilé qui peut relâcher le GIL. Plusieurs threads peuvent alors travailler en parallèle. Cependant BLAS peut lui-même créer des threads; sans contrôle, n_jobs workers multipliés par les threads BLAS peuvent saturer le CPU. _parallel_context et blas_threads servent à éviter cette sur-souscription.</w:t>
      </w:r>
    </w:p>
    <w:p>
      <w:pPr>
        <w:pStyle w:val="Heading2"/>
      </w:pPr>
      <w:r>
        <w:t>12.5 Pourquoi une variable globale _PROCESS_SOLVER</w:t>
      </w:r>
    </w:p>
    <w:p>
      <w:pPr>
        <w:spacing w:before="0" w:after="120" w:line="300" w:lineRule="auto"/>
      </w:pPr>
      <w:r>
        <w:rPr>
          <w:rFonts w:ascii="Calibri" w:hAnsi="Calibri"/>
          <w:b w:val="0"/>
          <w:i w:val="0"/>
          <w:color w:val="000000"/>
          <w:sz w:val="22"/>
        </w:rPr>
        <w:t>Avec ProcessPoolExecutor, le solver contient de grands tableaux. L'initializer en installe une copie une seule fois dans chaque processus. Les tâches suivantes envoient surtout les indices de blocs, au lieu de sérialiser le solver à chaque appel. Cette variable est globale seulement à l'intérieur du processus worker.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E"/>
          </w:tcPr>
          <w:p>
            <w:pPr>
              <w:spacing w:before="0" w:after="60" w:line="264" w:lineRule="auto"/>
            </w:pPr>
            <w:r>
              <w:rPr>
                <w:rFonts w:ascii="Calibri" w:hAnsi="Calibri"/>
                <w:b/>
                <w:i w:val="0"/>
                <w:color w:val="2F6B4F"/>
                <w:sz w:val="21"/>
              </w:rPr>
              <w:t>Recommandation pratique</w:t>
            </w:r>
          </w:p>
          <w:p>
            <w:pPr>
              <w:spacing w:before="0" w:after="0" w:line="288" w:lineRule="auto"/>
            </w:pPr>
            <w:r>
              <w:rPr>
                <w:rFonts w:ascii="Calibri" w:hAnsi="Calibri"/>
                <w:b w:val="0"/>
                <w:i w:val="0"/>
                <w:color w:val="000000"/>
                <w:sz w:val="20"/>
              </w:rPr>
              <w:t>Dans un notebook et pour le modèle SOC d=6 : commencer avec parallel_backend='serial', n_jobs=1. Comparer ensuite à threading avec n_jobs=2 ou 4 et blas_threads=1. N'utiliser loky/process que si un benchmark montre un gain réel. Les processus sont plus fragiles sous Windows et dans Jupyter.</w:t>
            </w:r>
          </w:p>
        </w:tc>
      </w:tr>
    </w:tbl>
    <w:p>
      <w:pPr>
        <w:spacing w:before="0" w:after="40" w:line="300" w:lineRule="auto"/>
      </w:pPr>
    </w:p>
    <w:p>
      <w:pPr>
        <w:pStyle w:val="Heading1"/>
      </w:pPr>
      <w:r>
        <w:t>13. Caches, mémoire et performance</w:t>
      </w:r>
    </w:p>
    <w:tbl>
      <w:tblPr>
        <w:tblStyle w:val="TableGrid"/>
        <w:tblW w:type="dxa" w:w="9360"/>
        <w:jc w:val="left"/>
        <w:tblLayout w:type="fixed"/>
        <w:tblLook w:firstColumn="1" w:firstRow="1" w:lastColumn="0" w:lastRow="0" w:noHBand="0" w:noVBand="1" w:val="04A0"/>
        <w:tblInd w:w="120" w:type="dxa"/>
      </w:tblPr>
      <w:tblGrid>
        <w:gridCol w:w="2450"/>
        <w:gridCol w:w="1700"/>
        <w:gridCol w:w="2850"/>
        <w:gridCol w:w="2360"/>
      </w:tblGrid>
      <w:tr>
        <w:trPr>
          <w:tblHeader w:val="true"/>
        </w:trPr>
        <w:tc>
          <w:tcPr>
            <w:tcW w:type="dxa" w:w="245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7"/>
              </w:rPr>
              <w:t>Cache</w:t>
            </w:r>
          </w:p>
        </w:tc>
        <w:tc>
          <w:tcPr>
            <w:tcW w:type="dxa" w:w="170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7"/>
              </w:rPr>
              <w:t>Clé</w:t>
            </w:r>
          </w:p>
        </w:tc>
        <w:tc>
          <w:tcPr>
            <w:tcW w:type="dxa" w:w="285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7"/>
              </w:rPr>
              <w:t>Contenu</w:t>
            </w:r>
          </w:p>
        </w:tc>
        <w:tc>
          <w:tcPr>
            <w:tcW w:type="dxa" w:w="236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7"/>
              </w:rPr>
              <w:t>Invalidation</w:t>
            </w:r>
          </w:p>
        </w:tc>
      </w:tr>
      <w:tr>
        <w:tc>
          <w:tcPr>
            <w:tcW w:type="dxa" w:w="2450"/>
          </w:tcPr>
          <w:p>
            <w:pPr>
              <w:spacing w:before="0" w:after="0" w:line="264" w:lineRule="auto"/>
              <w:jc w:val="left"/>
            </w:pPr>
            <w:r>
              <w:rPr>
                <w:rFonts w:ascii="Calibri" w:hAnsi="Calibri"/>
                <w:b w:val="0"/>
                <w:i w:val="0"/>
                <w:color w:val="000000"/>
                <w:sz w:val="17"/>
              </w:rPr>
              <w:t>_dense_resolvent_cache</w:t>
            </w:r>
          </w:p>
        </w:tc>
        <w:tc>
          <w:tcPr>
            <w:tcW w:type="dxa" w:w="1700"/>
          </w:tcPr>
          <w:p>
            <w:pPr>
              <w:spacing w:before="0" w:after="0" w:line="264" w:lineRule="auto"/>
              <w:jc w:val="center"/>
            </w:pPr>
            <w:r>
              <w:rPr>
                <w:rFonts w:ascii="Calibri" w:hAnsi="Calibri"/>
                <w:b w:val="0"/>
                <w:i w:val="0"/>
                <w:color w:val="000000"/>
                <w:sz w:val="17"/>
              </w:rPr>
              <w:t>omega</w:t>
            </w:r>
          </w:p>
        </w:tc>
        <w:tc>
          <w:tcPr>
            <w:tcW w:type="dxa" w:w="2850"/>
          </w:tcPr>
          <w:p>
            <w:pPr>
              <w:spacing w:before="0" w:after="0" w:line="264" w:lineRule="auto"/>
              <w:jc w:val="left"/>
            </w:pPr>
            <w:r>
              <w:rPr>
                <w:rFonts w:ascii="Calibri" w:hAnsi="Calibri"/>
                <w:b w:val="0"/>
                <w:i w:val="0"/>
                <w:color w:val="000000"/>
                <w:sz w:val="17"/>
              </w:rPr>
              <w:t>inverse dense pour tous les k</w:t>
            </w:r>
          </w:p>
        </w:tc>
        <w:tc>
          <w:tcPr>
            <w:tcW w:type="dxa" w:w="2360"/>
          </w:tcPr>
          <w:p>
            <w:pPr>
              <w:spacing w:before="0" w:after="0" w:line="264" w:lineRule="auto"/>
              <w:jc w:val="left"/>
            </w:pPr>
            <w:r>
              <w:rPr>
                <w:rFonts w:ascii="Calibri" w:hAnsi="Calibri"/>
                <w:b w:val="0"/>
                <w:i w:val="0"/>
                <w:color w:val="000000"/>
                <w:sz w:val="17"/>
              </w:rPr>
              <w:t>début d'un scan ou reconstruction</w:t>
            </w:r>
          </w:p>
        </w:tc>
      </w:tr>
      <w:tr>
        <w:tc>
          <w:tcPr>
            <w:tcW w:type="dxa" w:w="2450"/>
          </w:tcPr>
          <w:p>
            <w:pPr>
              <w:spacing w:before="0" w:after="0" w:line="264" w:lineRule="auto"/>
              <w:jc w:val="left"/>
            </w:pPr>
            <w:r>
              <w:rPr>
                <w:rFonts w:ascii="Calibri" w:hAnsi="Calibri"/>
                <w:b w:val="0"/>
                <w:i w:val="0"/>
                <w:color w:val="000000"/>
                <w:sz w:val="17"/>
              </w:rPr>
              <w:t>_dense_tau2_cache</w:t>
            </w:r>
          </w:p>
        </w:tc>
        <w:tc>
          <w:tcPr>
            <w:tcW w:type="dxa" w:w="1700"/>
          </w:tcPr>
          <w:p>
            <w:pPr>
              <w:spacing w:before="0" w:after="0" w:line="264" w:lineRule="auto"/>
              <w:jc w:val="center"/>
            </w:pPr>
            <w:r>
              <w:rPr>
                <w:rFonts w:ascii="Calibri" w:hAnsi="Calibri"/>
                <w:b w:val="0"/>
                <w:i w:val="0"/>
                <w:color w:val="000000"/>
                <w:sz w:val="17"/>
              </w:rPr>
              <w:t>tau2</w:t>
            </w:r>
          </w:p>
        </w:tc>
        <w:tc>
          <w:tcPr>
            <w:tcW w:type="dxa" w:w="2850"/>
          </w:tcPr>
          <w:p>
            <w:pPr>
              <w:spacing w:before="0" w:after="0" w:line="264" w:lineRule="auto"/>
              <w:jc w:val="center"/>
            </w:pPr>
            <w:r>
              <w:rPr>
                <w:rFonts w:ascii="Calibri" w:hAnsi="Calibri"/>
                <w:b w:val="0"/>
                <w:i w:val="0"/>
                <w:color w:val="000000"/>
                <w:sz w:val="17"/>
              </w:rPr>
              <w:t>G2 dense</w:t>
            </w:r>
          </w:p>
        </w:tc>
        <w:tc>
          <w:tcPr>
            <w:tcW w:type="dxa" w:w="2360"/>
          </w:tcPr>
          <w:p>
            <w:pPr>
              <w:spacing w:before="0" w:after="0" w:line="264" w:lineRule="auto"/>
              <w:jc w:val="left"/>
            </w:pPr>
            <w:r>
              <w:rPr>
                <w:rFonts w:ascii="Calibri" w:hAnsi="Calibri"/>
                <w:b w:val="0"/>
                <w:i w:val="0"/>
                <w:color w:val="000000"/>
                <w:sz w:val="17"/>
              </w:rPr>
              <w:t>début d'un scan ou reconstruction</w:t>
            </w:r>
          </w:p>
        </w:tc>
      </w:tr>
      <w:tr>
        <w:tc>
          <w:tcPr>
            <w:tcW w:type="dxa" w:w="2450"/>
          </w:tcPr>
          <w:p>
            <w:pPr>
              <w:spacing w:before="0" w:after="0" w:line="264" w:lineRule="auto"/>
              <w:jc w:val="left"/>
            </w:pPr>
            <w:r>
              <w:rPr>
                <w:rFonts w:ascii="Calibri" w:hAnsi="Calibri"/>
                <w:b w:val="0"/>
                <w:i w:val="0"/>
                <w:color w:val="000000"/>
                <w:sz w:val="17"/>
              </w:rPr>
              <w:t>_resolvent_cache</w:t>
            </w:r>
          </w:p>
        </w:tc>
        <w:tc>
          <w:tcPr>
            <w:tcW w:type="dxa" w:w="1700"/>
          </w:tcPr>
          <w:p>
            <w:pPr>
              <w:spacing w:before="0" w:after="0" w:line="264" w:lineRule="auto"/>
              <w:jc w:val="center"/>
            </w:pPr>
            <w:r>
              <w:rPr>
                <w:rFonts w:ascii="Calibri" w:hAnsi="Calibri"/>
                <w:b w:val="0"/>
                <w:i w:val="0"/>
                <w:color w:val="000000"/>
                <w:sz w:val="17"/>
              </w:rPr>
              <w:t>(k, omega)</w:t>
            </w:r>
          </w:p>
        </w:tc>
        <w:tc>
          <w:tcPr>
            <w:tcW w:type="dxa" w:w="2850"/>
          </w:tcPr>
          <w:p>
            <w:pPr>
              <w:spacing w:before="0" w:after="0" w:line="264" w:lineRule="auto"/>
              <w:jc w:val="center"/>
            </w:pPr>
            <w:r>
              <w:rPr>
                <w:rFonts w:ascii="Calibri" w:hAnsi="Calibri"/>
                <w:b w:val="0"/>
                <w:i w:val="0"/>
                <w:color w:val="000000"/>
                <w:sz w:val="17"/>
              </w:rPr>
              <w:t>factorisation sparse</w:t>
            </w:r>
          </w:p>
        </w:tc>
        <w:tc>
          <w:tcPr>
            <w:tcW w:type="dxa" w:w="2360"/>
          </w:tcPr>
          <w:p>
            <w:pPr>
              <w:spacing w:before="0" w:after="0" w:line="264" w:lineRule="auto"/>
              <w:jc w:val="left"/>
            </w:pPr>
            <w:r>
              <w:rPr>
                <w:rFonts w:ascii="Calibri" w:hAnsi="Calibri"/>
                <w:b w:val="0"/>
                <w:i w:val="0"/>
                <w:color w:val="000000"/>
                <w:sz w:val="17"/>
              </w:rPr>
              <w:t>début d'un scan ou reconstruction</w:t>
            </w:r>
          </w:p>
        </w:tc>
      </w:tr>
      <w:tr>
        <w:tc>
          <w:tcPr>
            <w:tcW w:type="dxa" w:w="2450"/>
          </w:tcPr>
          <w:p>
            <w:pPr>
              <w:spacing w:before="0" w:after="0" w:line="264" w:lineRule="auto"/>
              <w:jc w:val="left"/>
            </w:pPr>
            <w:r>
              <w:rPr>
                <w:rFonts w:ascii="Calibri" w:hAnsi="Calibri"/>
                <w:b w:val="0"/>
                <w:i w:val="0"/>
                <w:color w:val="000000"/>
                <w:sz w:val="17"/>
              </w:rPr>
              <w:t>_sparse_tau2_cache</w:t>
            </w:r>
          </w:p>
        </w:tc>
        <w:tc>
          <w:tcPr>
            <w:tcW w:type="dxa" w:w="1700"/>
          </w:tcPr>
          <w:p>
            <w:pPr>
              <w:spacing w:before="0" w:after="0" w:line="264" w:lineRule="auto"/>
              <w:jc w:val="center"/>
            </w:pPr>
            <w:r>
              <w:rPr>
                <w:rFonts w:ascii="Calibri" w:hAnsi="Calibri"/>
                <w:b w:val="0"/>
                <w:i w:val="0"/>
                <w:color w:val="000000"/>
                <w:sz w:val="17"/>
              </w:rPr>
              <w:t>(k, tau2)</w:t>
            </w:r>
          </w:p>
        </w:tc>
        <w:tc>
          <w:tcPr>
            <w:tcW w:type="dxa" w:w="2850"/>
          </w:tcPr>
          <w:p>
            <w:pPr>
              <w:spacing w:before="0" w:after="0" w:line="264" w:lineRule="auto"/>
              <w:jc w:val="center"/>
            </w:pPr>
            <w:r>
              <w:rPr>
                <w:rFonts w:ascii="Calibri" w:hAnsi="Calibri"/>
                <w:b w:val="0"/>
                <w:i w:val="0"/>
                <w:color w:val="000000"/>
                <w:sz w:val="17"/>
              </w:rPr>
              <w:t>exponentielle sparse</w:t>
            </w:r>
          </w:p>
        </w:tc>
        <w:tc>
          <w:tcPr>
            <w:tcW w:type="dxa" w:w="2360"/>
          </w:tcPr>
          <w:p>
            <w:pPr>
              <w:spacing w:before="0" w:after="0" w:line="264" w:lineRule="auto"/>
              <w:jc w:val="center"/>
            </w:pPr>
            <w:r>
              <w:rPr>
                <w:rFonts w:ascii="Calibri" w:hAnsi="Calibri"/>
                <w:b w:val="0"/>
                <w:i w:val="0"/>
                <w:color w:val="000000"/>
                <w:sz w:val="17"/>
              </w:rPr>
              <w:t>reconstruction</w:t>
            </w:r>
          </w:p>
        </w:tc>
      </w:tr>
    </w:tbl>
    <w:p>
      <w:pPr>
        <w:spacing w:before="0" w:after="40" w:line="300" w:lineRule="auto"/>
      </w:pPr>
    </w:p>
    <w:p>
      <w:pPr>
        <w:spacing w:before="0" w:after="120" w:line="300" w:lineRule="auto"/>
      </w:pPr>
      <w:r>
        <w:rPr>
          <w:rFonts w:ascii="Calibri" w:hAnsi="Calibri"/>
          <w:b w:val="0"/>
          <w:i w:val="0"/>
          <w:color w:val="000000"/>
          <w:sz w:val="22"/>
        </w:rPr>
        <w:t>max_resolvent_cache limite le nombre d'entrées selon une politique LRU simple basée sur OrderedDict. Les caches accélèrent les fréquences répétées mais peuvent consommer beaucoup de mémoire, surtout en dense où un résolvant a la forme (N_k,d^2,d^2).</w:t>
      </w:r>
    </w:p>
    <w:p>
      <w:pPr>
        <w:pStyle w:val="Heading2"/>
      </w:pPr>
      <w:r>
        <w:t>Optimisation dense spécifique</w:t>
      </w:r>
    </w:p>
    <w:p>
      <w:pPr>
        <w:spacing w:before="0" w:after="120" w:line="300" w:lineRule="auto"/>
      </w:pPr>
      <w:r>
        <w:rPr>
          <w:rFonts w:ascii="Calibri" w:hAnsi="Calibri"/>
          <w:b w:val="0"/>
          <w:i w:val="0"/>
          <w:color w:val="000000"/>
          <w:sz w:val="22"/>
        </w:rPr>
        <w:t>Le chemin dense standard pré-calcule G(omega) pour toutes les fréquences, G2(tau2), puis les trois seconds membres qui dépendent de omega1. La boucle omega3 ne fait ensuite que multiplier G3 par ces objets immuables. C'est la raison pour laquelle ce chemin est plus rapide que l'appel générique à calc_pathway pour chaque point.</w:t>
      </w:r>
    </w:p>
    <w:p>
      <w:pPr>
        <w:pStyle w:val="Heading1"/>
      </w:pPr>
      <w:r>
        <w:t>14. SpectroscopyPlotter</w:t>
      </w:r>
    </w:p>
    <w:p>
      <w:pPr>
        <w:spacing w:before="0" w:after="120" w:line="300" w:lineRule="auto"/>
      </w:pPr>
      <w:r>
        <w:rPr>
          <w:rFonts w:ascii="Calibri" w:hAnsi="Calibri"/>
          <w:b w:val="0"/>
          <w:i w:val="0"/>
          <w:color w:val="000000"/>
          <w:sz w:val="22"/>
        </w:rPr>
        <w:t>SpectroscopyPlotter ne connaît aucune physique du modèle. Il reçoit w_list et transforme des matrices complexes en données affichables.</w:t>
      </w:r>
    </w:p>
    <w:tbl>
      <w:tblPr>
        <w:tblStyle w:val="TableGrid"/>
        <w:tblW w:type="dxa" w:w="9360"/>
        <w:jc w:val="left"/>
        <w:tblLayout w:type="fixed"/>
        <w:tblLook w:firstColumn="1" w:firstRow="1" w:lastColumn="0" w:lastRow="0" w:noHBand="0" w:noVBand="1" w:val="04A0"/>
        <w:tblInd w:w="120" w:type="dxa"/>
      </w:tblPr>
      <w:tblGrid>
        <w:gridCol w:w="2300"/>
        <w:gridCol w:w="3100"/>
        <w:gridCol w:w="3960"/>
      </w:tblGrid>
      <w:tr>
        <w:trPr>
          <w:tblHeader w:val="true"/>
        </w:trPr>
        <w:tc>
          <w:tcPr>
            <w:tcW w:type="dxa" w:w="230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7"/>
              </w:rPr>
              <w:t>Méthode</w:t>
            </w:r>
          </w:p>
        </w:tc>
        <w:tc>
          <w:tcPr>
            <w:tcW w:type="dxa" w:w="310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7"/>
              </w:rPr>
              <w:t>Entrée</w:t>
            </w:r>
          </w:p>
        </w:tc>
        <w:tc>
          <w:tcPr>
            <w:tcW w:type="dxa" w:w="396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7"/>
              </w:rPr>
              <w:t>But</w:t>
            </w:r>
          </w:p>
        </w:tc>
      </w:tr>
      <w:tr>
        <w:tc>
          <w:tcPr>
            <w:tcW w:type="dxa" w:w="2300"/>
          </w:tcPr>
          <w:p>
            <w:pPr>
              <w:spacing w:before="0" w:after="0" w:line="264" w:lineRule="auto"/>
              <w:jc w:val="left"/>
            </w:pPr>
            <w:r>
              <w:rPr>
                <w:rFonts w:ascii="Calibri" w:hAnsi="Calibri"/>
                <w:b w:val="0"/>
                <w:i w:val="0"/>
                <w:color w:val="000000"/>
                <w:sz w:val="17"/>
              </w:rPr>
              <w:t>plot</w:t>
            </w:r>
          </w:p>
        </w:tc>
        <w:tc>
          <w:tcPr>
            <w:tcW w:type="dxa" w:w="3100"/>
          </w:tcPr>
          <w:p>
            <w:pPr>
              <w:spacing w:before="0" w:after="0" w:line="264" w:lineRule="auto"/>
              <w:jc w:val="center"/>
            </w:pPr>
            <w:r>
              <w:rPr>
                <w:rFonts w:ascii="Calibri" w:hAnsi="Calibri"/>
                <w:b w:val="0"/>
                <w:i w:val="0"/>
                <w:color w:val="000000"/>
                <w:sz w:val="17"/>
              </w:rPr>
              <w:t>matrice complexe</w:t>
            </w:r>
          </w:p>
        </w:tc>
        <w:tc>
          <w:tcPr>
            <w:tcW w:type="dxa" w:w="3960"/>
          </w:tcPr>
          <w:p>
            <w:pPr>
              <w:spacing w:before="0" w:after="0" w:line="264" w:lineRule="auto"/>
              <w:jc w:val="center"/>
            </w:pPr>
            <w:r>
              <w:rPr>
                <w:rFonts w:ascii="Calibri" w:hAnsi="Calibri"/>
                <w:b w:val="0"/>
                <w:i w:val="0"/>
                <w:color w:val="000000"/>
                <w:sz w:val="17"/>
              </w:rPr>
              <w:t>Panneau générique.</w:t>
            </w:r>
          </w:p>
        </w:tc>
      </w:tr>
      <w:tr>
        <w:tc>
          <w:tcPr>
            <w:tcW w:type="dxa" w:w="2300"/>
          </w:tcPr>
          <w:p>
            <w:pPr>
              <w:spacing w:before="0" w:after="0" w:line="264" w:lineRule="auto"/>
              <w:jc w:val="left"/>
            </w:pPr>
            <w:r>
              <w:rPr>
                <w:rFonts w:ascii="Calibri" w:hAnsi="Calibri"/>
                <w:b w:val="0"/>
                <w:i w:val="0"/>
                <w:color w:val="000000"/>
                <w:sz w:val="17"/>
              </w:rPr>
              <w:t>plot_rephasing</w:t>
            </w:r>
          </w:p>
        </w:tc>
        <w:tc>
          <w:tcPr>
            <w:tcW w:type="dxa" w:w="3100"/>
          </w:tcPr>
          <w:p>
            <w:pPr>
              <w:spacing w:before="0" w:after="0" w:line="264" w:lineRule="auto"/>
              <w:jc w:val="center"/>
            </w:pPr>
            <w:r>
              <w:rPr>
                <w:rFonts w:ascii="Calibri" w:hAnsi="Calibri"/>
                <w:b w:val="0"/>
                <w:i w:val="0"/>
                <w:color w:val="000000"/>
                <w:sz w:val="17"/>
              </w:rPr>
              <w:t>dict spectra ou matrice</w:t>
            </w:r>
          </w:p>
        </w:tc>
        <w:tc>
          <w:tcPr>
            <w:tcW w:type="dxa" w:w="3960"/>
          </w:tcPr>
          <w:p>
            <w:pPr>
              <w:spacing w:before="0" w:after="0" w:line="264" w:lineRule="auto"/>
              <w:jc w:val="center"/>
            </w:pPr>
            <w:r>
              <w:rPr>
                <w:rFonts w:ascii="Calibri" w:hAnsi="Calibri"/>
                <w:b w:val="0"/>
                <w:i w:val="0"/>
                <w:color w:val="000000"/>
                <w:sz w:val="17"/>
              </w:rPr>
              <w:t>Composante rephasing.</w:t>
            </w:r>
          </w:p>
        </w:tc>
      </w:tr>
      <w:tr>
        <w:tc>
          <w:tcPr>
            <w:tcW w:type="dxa" w:w="2300"/>
          </w:tcPr>
          <w:p>
            <w:pPr>
              <w:spacing w:before="0" w:after="0" w:line="264" w:lineRule="auto"/>
              <w:jc w:val="left"/>
            </w:pPr>
            <w:r>
              <w:rPr>
                <w:rFonts w:ascii="Calibri" w:hAnsi="Calibri"/>
                <w:b w:val="0"/>
                <w:i w:val="0"/>
                <w:color w:val="000000"/>
                <w:sz w:val="17"/>
              </w:rPr>
              <w:t>plot_unrephasing</w:t>
            </w:r>
          </w:p>
        </w:tc>
        <w:tc>
          <w:tcPr>
            <w:tcW w:type="dxa" w:w="3100"/>
          </w:tcPr>
          <w:p>
            <w:pPr>
              <w:spacing w:before="0" w:after="0" w:line="264" w:lineRule="auto"/>
              <w:jc w:val="center"/>
            </w:pPr>
            <w:r>
              <w:rPr>
                <w:rFonts w:ascii="Calibri" w:hAnsi="Calibri"/>
                <w:b w:val="0"/>
                <w:i w:val="0"/>
                <w:color w:val="000000"/>
                <w:sz w:val="17"/>
              </w:rPr>
              <w:t>dict spectra ou matrice</w:t>
            </w:r>
          </w:p>
        </w:tc>
        <w:tc>
          <w:tcPr>
            <w:tcW w:type="dxa" w:w="3960"/>
          </w:tcPr>
          <w:p>
            <w:pPr>
              <w:spacing w:before="0" w:after="0" w:line="264" w:lineRule="auto"/>
              <w:jc w:val="center"/>
            </w:pPr>
            <w:r>
              <w:rPr>
                <w:rFonts w:ascii="Calibri" w:hAnsi="Calibri"/>
                <w:b w:val="0"/>
                <w:i w:val="0"/>
                <w:color w:val="000000"/>
                <w:sz w:val="17"/>
              </w:rPr>
              <w:t>Composante unrephasing.</w:t>
            </w:r>
          </w:p>
        </w:tc>
      </w:tr>
      <w:tr>
        <w:tc>
          <w:tcPr>
            <w:tcW w:type="dxa" w:w="2300"/>
          </w:tcPr>
          <w:p>
            <w:pPr>
              <w:spacing w:before="0" w:after="0" w:line="264" w:lineRule="auto"/>
              <w:jc w:val="left"/>
            </w:pPr>
            <w:r>
              <w:rPr>
                <w:rFonts w:ascii="Calibri" w:hAnsi="Calibri"/>
                <w:b w:val="0"/>
                <w:i w:val="0"/>
                <w:color w:val="000000"/>
                <w:sz w:val="17"/>
              </w:rPr>
              <w:t>plot_nonrephasing</w:t>
            </w:r>
          </w:p>
        </w:tc>
        <w:tc>
          <w:tcPr>
            <w:tcW w:type="dxa" w:w="3100"/>
          </w:tcPr>
          <w:p>
            <w:pPr>
              <w:spacing w:before="0" w:after="0" w:line="264" w:lineRule="auto"/>
              <w:jc w:val="center"/>
            </w:pPr>
            <w:r>
              <w:rPr>
                <w:rFonts w:ascii="Calibri" w:hAnsi="Calibri"/>
                <w:b w:val="0"/>
                <w:i w:val="0"/>
                <w:color w:val="000000"/>
                <w:sz w:val="17"/>
              </w:rPr>
              <w:t>idem</w:t>
            </w:r>
          </w:p>
        </w:tc>
        <w:tc>
          <w:tcPr>
            <w:tcW w:type="dxa" w:w="3960"/>
          </w:tcPr>
          <w:p>
            <w:pPr>
              <w:spacing w:before="0" w:after="0" w:line="264" w:lineRule="auto"/>
              <w:jc w:val="center"/>
            </w:pPr>
            <w:r>
              <w:rPr>
                <w:rFonts w:ascii="Calibri" w:hAnsi="Calibri"/>
                <w:b w:val="0"/>
                <w:i w:val="0"/>
                <w:color w:val="000000"/>
                <w:sz w:val="17"/>
              </w:rPr>
              <w:t>Alias terminologique.</w:t>
            </w:r>
          </w:p>
        </w:tc>
      </w:tr>
      <w:tr>
        <w:tc>
          <w:tcPr>
            <w:tcW w:type="dxa" w:w="2300"/>
          </w:tcPr>
          <w:p>
            <w:pPr>
              <w:spacing w:before="0" w:after="0" w:line="264" w:lineRule="auto"/>
              <w:jc w:val="left"/>
            </w:pPr>
            <w:r>
              <w:rPr>
                <w:rFonts w:ascii="Calibri" w:hAnsi="Calibri"/>
                <w:b w:val="0"/>
                <w:i w:val="0"/>
                <w:color w:val="000000"/>
                <w:sz w:val="17"/>
              </w:rPr>
              <w:t>plot_absorptive</w:t>
            </w:r>
          </w:p>
        </w:tc>
        <w:tc>
          <w:tcPr>
            <w:tcW w:type="dxa" w:w="3100"/>
          </w:tcPr>
          <w:p>
            <w:pPr>
              <w:spacing w:before="0" w:after="0" w:line="264" w:lineRule="auto"/>
              <w:jc w:val="center"/>
            </w:pPr>
            <w:r>
              <w:rPr>
                <w:rFonts w:ascii="Calibri" w:hAnsi="Calibri"/>
                <w:b w:val="0"/>
                <w:i w:val="0"/>
                <w:color w:val="000000"/>
                <w:sz w:val="17"/>
              </w:rPr>
              <w:t>dict spectra ou matrice</w:t>
            </w:r>
          </w:p>
        </w:tc>
        <w:tc>
          <w:tcPr>
            <w:tcW w:type="dxa" w:w="3960"/>
          </w:tcPr>
          <w:p>
            <w:pPr>
              <w:spacing w:before="0" w:after="0" w:line="264" w:lineRule="auto"/>
              <w:jc w:val="center"/>
            </w:pPr>
            <w:r>
              <w:rPr>
                <w:rFonts w:ascii="Calibri" w:hAnsi="Calibri"/>
                <w:b w:val="0"/>
                <w:i w:val="0"/>
                <w:color w:val="000000"/>
                <w:sz w:val="17"/>
              </w:rPr>
              <w:t>Composante absorptive.</w:t>
            </w:r>
          </w:p>
        </w:tc>
      </w:tr>
      <w:tr>
        <w:tc>
          <w:tcPr>
            <w:tcW w:type="dxa" w:w="2300"/>
          </w:tcPr>
          <w:p>
            <w:pPr>
              <w:spacing w:before="0" w:after="0" w:line="264" w:lineRule="auto"/>
              <w:jc w:val="left"/>
            </w:pPr>
            <w:r>
              <w:rPr>
                <w:rFonts w:ascii="Calibri" w:hAnsi="Calibri"/>
                <w:b w:val="0"/>
                <w:i w:val="0"/>
                <w:color w:val="000000"/>
                <w:sz w:val="17"/>
              </w:rPr>
              <w:t>plot_pathway</w:t>
            </w:r>
          </w:p>
        </w:tc>
        <w:tc>
          <w:tcPr>
            <w:tcW w:type="dxa" w:w="3100"/>
          </w:tcPr>
          <w:p>
            <w:pPr>
              <w:spacing w:before="0" w:after="0" w:line="264" w:lineRule="auto"/>
              <w:jc w:val="center"/>
            </w:pPr>
            <w:r>
              <w:rPr>
                <w:rFonts w:ascii="Calibri" w:hAnsi="Calibri"/>
                <w:b w:val="0"/>
                <w:i w:val="0"/>
                <w:color w:val="000000"/>
                <w:sz w:val="17"/>
              </w:rPr>
              <w:t>dict des pathways + nom</w:t>
            </w:r>
          </w:p>
        </w:tc>
        <w:tc>
          <w:tcPr>
            <w:tcW w:type="dxa" w:w="3960"/>
          </w:tcPr>
          <w:p>
            <w:pPr>
              <w:spacing w:before="0" w:after="0" w:line="264" w:lineRule="auto"/>
              <w:jc w:val="left"/>
            </w:pPr>
            <w:r>
              <w:rPr>
                <w:rFonts w:ascii="Calibri" w:hAnsi="Calibri"/>
                <w:b w:val="0"/>
                <w:i w:val="0"/>
                <w:color w:val="000000"/>
                <w:sz w:val="17"/>
              </w:rPr>
              <w:t>Un diagramme R1, R2, ...</w:t>
            </w:r>
          </w:p>
        </w:tc>
      </w:tr>
      <w:tr>
        <w:tc>
          <w:tcPr>
            <w:tcW w:type="dxa" w:w="2300"/>
          </w:tcPr>
          <w:p>
            <w:pPr>
              <w:spacing w:before="0" w:after="0" w:line="264" w:lineRule="auto"/>
              <w:jc w:val="left"/>
            </w:pPr>
            <w:r>
              <w:rPr>
                <w:rFonts w:ascii="Calibri" w:hAnsi="Calibri"/>
                <w:b w:val="0"/>
                <w:i w:val="0"/>
                <w:color w:val="000000"/>
                <w:sz w:val="17"/>
              </w:rPr>
              <w:t>plot_pathways</w:t>
            </w:r>
          </w:p>
        </w:tc>
        <w:tc>
          <w:tcPr>
            <w:tcW w:type="dxa" w:w="3100"/>
          </w:tcPr>
          <w:p>
            <w:pPr>
              <w:spacing w:before="0" w:after="0" w:line="264" w:lineRule="auto"/>
              <w:jc w:val="center"/>
            </w:pPr>
            <w:r>
              <w:rPr>
                <w:rFonts w:ascii="Calibri" w:hAnsi="Calibri"/>
                <w:b w:val="0"/>
                <w:i w:val="0"/>
                <w:color w:val="000000"/>
                <w:sz w:val="17"/>
              </w:rPr>
              <w:t>dict des pathways</w:t>
            </w:r>
          </w:p>
        </w:tc>
        <w:tc>
          <w:tcPr>
            <w:tcW w:type="dxa" w:w="3960"/>
          </w:tcPr>
          <w:p>
            <w:pPr>
              <w:spacing w:before="0" w:after="0" w:line="264" w:lineRule="auto"/>
              <w:jc w:val="left"/>
            </w:pPr>
            <w:r>
              <w:rPr>
                <w:rFonts w:ascii="Calibri" w:hAnsi="Calibri"/>
                <w:b w:val="0"/>
                <w:i w:val="0"/>
                <w:color w:val="000000"/>
                <w:sz w:val="17"/>
              </w:rPr>
              <w:t>Grille de plusieurs diagrammes.</w:t>
            </w:r>
          </w:p>
        </w:tc>
      </w:tr>
      <w:tr>
        <w:tc>
          <w:tcPr>
            <w:tcW w:type="dxa" w:w="2300"/>
          </w:tcPr>
          <w:p>
            <w:pPr>
              <w:spacing w:before="0" w:after="0" w:line="264" w:lineRule="auto"/>
              <w:jc w:val="left"/>
            </w:pPr>
            <w:r>
              <w:rPr>
                <w:rFonts w:ascii="Calibri" w:hAnsi="Calibri"/>
                <w:b w:val="0"/>
                <w:i w:val="0"/>
                <w:color w:val="000000"/>
                <w:sz w:val="17"/>
              </w:rPr>
              <w:t>plot_spectrum</w:t>
            </w:r>
          </w:p>
        </w:tc>
        <w:tc>
          <w:tcPr>
            <w:tcW w:type="dxa" w:w="3100"/>
          </w:tcPr>
          <w:p>
            <w:pPr>
              <w:spacing w:before="0" w:after="0" w:line="264" w:lineRule="auto"/>
              <w:jc w:val="center"/>
            </w:pPr>
            <w:r>
              <w:rPr>
                <w:rFonts w:ascii="Calibri" w:hAnsi="Calibri"/>
                <w:b w:val="0"/>
                <w:i w:val="0"/>
                <w:color w:val="000000"/>
                <w:sz w:val="17"/>
              </w:rPr>
              <w:t>deux matrices</w:t>
            </w:r>
          </w:p>
        </w:tc>
        <w:tc>
          <w:tcPr>
            <w:tcW w:type="dxa" w:w="3960"/>
          </w:tcPr>
          <w:p>
            <w:pPr>
              <w:spacing w:before="0" w:after="0" w:line="264" w:lineRule="auto"/>
              <w:jc w:val="left"/>
            </w:pPr>
            <w:r>
              <w:rPr>
                <w:rFonts w:ascii="Calibri" w:hAnsi="Calibri"/>
                <w:b w:val="0"/>
                <w:i w:val="0"/>
                <w:color w:val="000000"/>
                <w:sz w:val="17"/>
              </w:rPr>
              <w:t>Figure historique V5 en 3 x 2.</w:t>
            </w:r>
          </w:p>
        </w:tc>
      </w:tr>
    </w:tbl>
    <w:p>
      <w:pPr>
        <w:spacing w:before="0" w:after="40" w:line="300" w:lineRule="auto"/>
      </w:pPr>
    </w:p>
    <w:p>
      <w:pPr>
        <w:pStyle w:val="Heading2"/>
      </w:pPr>
      <w:r>
        <w:t>Sélection de la composante</w:t>
      </w:r>
    </w:p>
    <w:p>
      <w:pPr>
        <w:numPr>
          <w:ilvl w:val="0"/>
          <w:numId w:val="10"/>
        </w:numPr>
      </w:pPr>
      <w:r>
        <w:rPr>
          <w:rFonts w:ascii="Calibri" w:hAnsi="Calibri"/>
          <w:b w:val="0"/>
          <w:i w:val="0"/>
          <w:color w:val="000000"/>
          <w:sz w:val="21"/>
        </w:rPr>
        <w:t>real ou re : np.real(data), palette divergente RdBu_r.</w:t>
      </w:r>
    </w:p>
    <w:p>
      <w:pPr>
        <w:numPr>
          <w:ilvl w:val="0"/>
          <w:numId w:val="10"/>
        </w:numPr>
      </w:pPr>
      <w:r>
        <w:rPr>
          <w:rFonts w:ascii="Calibri" w:hAnsi="Calibri"/>
          <w:b w:val="0"/>
          <w:i w:val="0"/>
          <w:color w:val="000000"/>
          <w:sz w:val="21"/>
        </w:rPr>
        <w:t>imag, imaginary ou im : np.imag(data), palette divergente RdBu_r.</w:t>
      </w:r>
    </w:p>
    <w:p>
      <w:pPr>
        <w:numPr>
          <w:ilvl w:val="0"/>
          <w:numId w:val="10"/>
        </w:numPr>
      </w:pPr>
      <w:r>
        <w:rPr>
          <w:rFonts w:ascii="Calibri" w:hAnsi="Calibri"/>
          <w:b w:val="0"/>
          <w:i w:val="0"/>
          <w:color w:val="000000"/>
          <w:sz w:val="21"/>
        </w:rPr>
        <w:t>abs, absolute ou magnitude : np.abs(data), palette séquentielle magma.</w:t>
      </w:r>
    </w:p>
    <w:p>
      <w:pPr>
        <w:spacing w:before="0" w:after="120" w:line="300" w:lineRule="auto"/>
      </w:pPr>
      <w:r>
        <w:rPr>
          <w:rFonts w:ascii="Calibri" w:hAnsi="Calibri"/>
          <w:b w:val="0"/>
          <w:i w:val="0"/>
          <w:color w:val="000000"/>
          <w:sz w:val="22"/>
        </w:rPr>
        <w:t>_plot_subplot utilise des limites symétriques autour de zéro pour real/imag et une borne inférieure nulle pour abs. Chaque méthode retourne fig et ax/axes afin de permettre une personnalisation après coup.</w:t>
      </w:r>
    </w:p>
    <w:p>
      <w:pPr>
        <w:pStyle w:val="Heading1"/>
      </w:pPr>
      <w:r>
        <w:t>15. Référence des méthodes publiques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7"/>
              </w:rPr>
              <w:t>Groupe</w:t>
            </w:r>
          </w:p>
        </w:tc>
        <w:tc>
          <w:tcPr>
            <w:tcW w:type="dxa" w:w="716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7"/>
              </w:rPr>
              <w:t>Méthodes à utiliser directement</w:t>
            </w:r>
          </w:p>
        </w:tc>
      </w:tr>
      <w:tr>
        <w:tc>
          <w:tcPr>
            <w:tcW w:type="dxa" w:w="2200"/>
          </w:tcPr>
          <w:p>
            <w:pPr>
              <w:spacing w:before="0" w:after="0" w:line="264" w:lineRule="auto"/>
              <w:jc w:val="left"/>
            </w:pPr>
            <w:r>
              <w:rPr>
                <w:rFonts w:ascii="Calibri" w:hAnsi="Calibri"/>
                <w:b w:val="0"/>
                <w:i w:val="0"/>
                <w:color w:val="000000"/>
                <w:sz w:val="17"/>
              </w:rPr>
              <w:t>Modèle</w:t>
            </w:r>
          </w:p>
        </w:tc>
        <w:tc>
          <w:tcPr>
            <w:tcW w:type="dxa" w:w="7160"/>
          </w:tcPr>
          <w:p>
            <w:pPr>
              <w:spacing w:before="0" w:after="0" w:line="264" w:lineRule="auto"/>
              <w:jc w:val="left"/>
            </w:pPr>
            <w:r>
              <w:rPr>
                <w:rFonts w:ascii="Calibri" w:hAnsi="Calibri"/>
                <w:b w:val="0"/>
                <w:i w:val="0"/>
                <w:color w:val="000000"/>
                <w:sz w:val="17"/>
              </w:rPr>
              <w:t>feed_model, set_dissipation</w:t>
            </w:r>
          </w:p>
        </w:tc>
      </w:tr>
      <w:tr>
        <w:tc>
          <w:tcPr>
            <w:tcW w:type="dxa" w:w="2200"/>
          </w:tcPr>
          <w:p>
            <w:pPr>
              <w:spacing w:before="0" w:after="0" w:line="264" w:lineRule="auto"/>
              <w:jc w:val="left"/>
            </w:pPr>
            <w:r>
              <w:rPr>
                <w:rFonts w:ascii="Calibri" w:hAnsi="Calibri"/>
                <w:b w:val="0"/>
                <w:i w:val="0"/>
                <w:color w:val="000000"/>
                <w:sz w:val="17"/>
              </w:rPr>
              <w:t>État initial</w:t>
            </w:r>
          </w:p>
        </w:tc>
        <w:tc>
          <w:tcPr>
            <w:tcW w:type="dxa" w:w="7160"/>
          </w:tcPr>
          <w:p>
            <w:pPr>
              <w:spacing w:before="0" w:after="0" w:line="264" w:lineRule="auto"/>
              <w:jc w:val="left"/>
            </w:pPr>
            <w:r>
              <w:rPr>
                <w:rFonts w:ascii="Calibri" w:hAnsi="Calibri"/>
                <w:b w:val="0"/>
                <w:i w:val="0"/>
                <w:color w:val="000000"/>
                <w:sz w:val="17"/>
              </w:rPr>
              <w:t>set_initial_density_matrix, get_initial_density_matrix, clear_initial_density_matrix</w:t>
            </w:r>
          </w:p>
        </w:tc>
      </w:tr>
      <w:tr>
        <w:tc>
          <w:tcPr>
            <w:tcW w:type="dxa" w:w="2200"/>
          </w:tcPr>
          <w:p>
            <w:pPr>
              <w:spacing w:before="0" w:after="0" w:line="264" w:lineRule="auto"/>
              <w:jc w:val="left"/>
            </w:pPr>
            <w:r>
              <w:rPr>
                <w:rFonts w:ascii="Calibri" w:hAnsi="Calibri"/>
                <w:b w:val="0"/>
                <w:i w:val="0"/>
                <w:color w:val="000000"/>
                <w:sz w:val="17"/>
              </w:rPr>
              <w:t>Pathways</w:t>
            </w:r>
          </w:p>
        </w:tc>
        <w:tc>
          <w:tcPr>
            <w:tcW w:type="dxa" w:w="7160"/>
          </w:tcPr>
          <w:p>
            <w:pPr>
              <w:spacing w:before="0" w:after="0" w:line="264" w:lineRule="auto"/>
              <w:jc w:val="left"/>
            </w:pPr>
            <w:r>
              <w:rPr>
                <w:rFonts w:ascii="Calibri" w:hAnsi="Calibri"/>
                <w:b w:val="0"/>
                <w:i w:val="0"/>
                <w:color w:val="000000"/>
                <w:sz w:val="17"/>
              </w:rPr>
              <w:t>get_pathways, pathway_summary, set_pathways, reset_pathways</w:t>
            </w:r>
          </w:p>
        </w:tc>
      </w:tr>
      <w:tr>
        <w:tc>
          <w:tcPr>
            <w:tcW w:type="dxa" w:w="2200"/>
          </w:tcPr>
          <w:p>
            <w:pPr>
              <w:spacing w:before="0" w:after="0" w:line="264" w:lineRule="auto"/>
              <w:jc w:val="left"/>
            </w:pPr>
            <w:r>
              <w:rPr>
                <w:rFonts w:ascii="Calibri" w:hAnsi="Calibri"/>
                <w:b w:val="0"/>
                <w:i w:val="0"/>
                <w:color w:val="000000"/>
                <w:sz w:val="17"/>
              </w:rPr>
              <w:t>UFSS</w:t>
            </w:r>
          </w:p>
        </w:tc>
        <w:tc>
          <w:tcPr>
            <w:tcW w:type="dxa" w:w="7160"/>
          </w:tcPr>
          <w:p>
            <w:pPr>
              <w:spacing w:before="0" w:after="0" w:line="264" w:lineRule="auto"/>
              <w:jc w:val="left"/>
            </w:pPr>
            <w:r>
              <w:rPr>
                <w:rFonts w:ascii="Calibri" w:hAnsi="Calibri"/>
                <w:b w:val="0"/>
                <w:i w:val="0"/>
                <w:color w:val="000000"/>
                <w:sz w:val="17"/>
              </w:rPr>
              <w:t>translate_ufss_diagrams, generate_pathways_with_ufss, set_pathways_from_ufss, configure_standard_2d_pathways_with_ufss</w:t>
            </w:r>
          </w:p>
        </w:tc>
      </w:tr>
      <w:tr>
        <w:tc>
          <w:tcPr>
            <w:tcW w:type="dxa" w:w="2200"/>
          </w:tcPr>
          <w:p>
            <w:pPr>
              <w:spacing w:before="0" w:after="0" w:line="264" w:lineRule="auto"/>
              <w:jc w:val="left"/>
            </w:pPr>
            <w:r>
              <w:rPr>
                <w:rFonts w:ascii="Calibri" w:hAnsi="Calibri"/>
                <w:b w:val="0"/>
                <w:i w:val="0"/>
                <w:color w:val="000000"/>
                <w:sz w:val="17"/>
              </w:rPr>
              <w:t>Réponse ponctuelle</w:t>
            </w:r>
          </w:p>
        </w:tc>
        <w:tc>
          <w:tcPr>
            <w:tcW w:type="dxa" w:w="7160"/>
          </w:tcPr>
          <w:p>
            <w:pPr>
              <w:spacing w:before="0" w:after="0" w:line="264" w:lineRule="auto"/>
              <w:jc w:val="left"/>
            </w:pPr>
            <w:r>
              <w:rPr>
                <w:rFonts w:ascii="Calibri" w:hAnsi="Calibri"/>
                <w:b w:val="0"/>
                <w:i w:val="0"/>
                <w:color w:val="000000"/>
                <w:sz w:val="17"/>
              </w:rPr>
              <w:t>calc_pathway, calc_rephasing, calc_unrephasing</w:t>
            </w:r>
          </w:p>
        </w:tc>
      </w:tr>
      <w:tr>
        <w:tc>
          <w:tcPr>
            <w:tcW w:type="dxa" w:w="2200"/>
          </w:tcPr>
          <w:p>
            <w:pPr>
              <w:spacing w:before="0" w:after="0" w:line="264" w:lineRule="auto"/>
              <w:jc w:val="left"/>
            </w:pPr>
            <w:r>
              <w:rPr>
                <w:rFonts w:ascii="Calibri" w:hAnsi="Calibri"/>
                <w:b w:val="0"/>
                <w:i w:val="0"/>
                <w:color w:val="000000"/>
                <w:sz w:val="17"/>
              </w:rPr>
              <w:t>Scans</w:t>
            </w:r>
          </w:p>
        </w:tc>
        <w:tc>
          <w:tcPr>
            <w:tcW w:type="dxa" w:w="7160"/>
          </w:tcPr>
          <w:p>
            <w:pPr>
              <w:spacing w:before="0" w:after="0" w:line="264" w:lineRule="auto"/>
              <w:jc w:val="left"/>
            </w:pPr>
            <w:r>
              <w:rPr>
                <w:rFonts w:ascii="Calibri" w:hAnsi="Calibri"/>
                <w:b w:val="0"/>
                <w:i w:val="0"/>
                <w:color w:val="000000"/>
                <w:sz w:val="17"/>
              </w:rPr>
              <w:t>generate_2D_spectra, generate_2D_pathways</w:t>
            </w:r>
          </w:p>
        </w:tc>
      </w:tr>
      <w:tr>
        <w:tc>
          <w:tcPr>
            <w:tcW w:type="dxa" w:w="2200"/>
          </w:tcPr>
          <w:p>
            <w:pPr>
              <w:spacing w:before="0" w:after="0" w:line="264" w:lineRule="auto"/>
              <w:jc w:val="left"/>
            </w:pPr>
            <w:r>
              <w:rPr>
                <w:rFonts w:ascii="Calibri" w:hAnsi="Calibri"/>
                <w:b w:val="0"/>
                <w:i w:val="0"/>
                <w:color w:val="000000"/>
                <w:sz w:val="17"/>
              </w:rPr>
              <w:t>Performance</w:t>
            </w:r>
          </w:p>
        </w:tc>
        <w:tc>
          <w:tcPr>
            <w:tcW w:type="dxa" w:w="7160"/>
          </w:tcPr>
          <w:p>
            <w:pPr>
              <w:spacing w:before="0" w:after="0" w:line="264" w:lineRule="auto"/>
              <w:jc w:val="left"/>
            </w:pPr>
            <w:r>
              <w:rPr>
                <w:rFonts w:ascii="Calibri" w:hAnsi="Calibri"/>
                <w:b w:val="0"/>
                <w:i w:val="0"/>
                <w:color w:val="000000"/>
                <w:sz w:val="17"/>
              </w:rPr>
              <w:t>benchmark_2D_parallel_backends</w:t>
            </w:r>
          </w:p>
        </w:tc>
      </w:tr>
      <w:tr>
        <w:tc>
          <w:tcPr>
            <w:tcW w:type="dxa" w:w="2200"/>
          </w:tcPr>
          <w:p>
            <w:pPr>
              <w:spacing w:before="0" w:after="0" w:line="264" w:lineRule="auto"/>
              <w:jc w:val="left"/>
            </w:pPr>
            <w:r>
              <w:rPr>
                <w:rFonts w:ascii="Calibri" w:hAnsi="Calibri"/>
                <w:b w:val="0"/>
                <w:i w:val="0"/>
                <w:color w:val="000000"/>
                <w:sz w:val="17"/>
              </w:rPr>
              <w:t>Figures</w:t>
            </w:r>
          </w:p>
        </w:tc>
        <w:tc>
          <w:tcPr>
            <w:tcW w:type="dxa" w:w="7160"/>
          </w:tcPr>
          <w:p>
            <w:pPr>
              <w:spacing w:before="0" w:after="0" w:line="264" w:lineRule="auto"/>
              <w:jc w:val="left"/>
            </w:pPr>
            <w:r>
              <w:rPr>
                <w:rFonts w:ascii="Calibri" w:hAnsi="Calibri"/>
                <w:b w:val="0"/>
                <w:i w:val="0"/>
                <w:color w:val="000000"/>
                <w:sz w:val="17"/>
              </w:rPr>
              <w:t>méthodes publiques de SpectroscopyPlotter</w:t>
            </w:r>
          </w:p>
        </w:tc>
      </w:tr>
    </w:tbl>
    <w:p>
      <w:pPr>
        <w:spacing w:before="0" w:after="40" w:line="300" w:lineRule="auto"/>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60" w:line="264" w:lineRule="auto"/>
            </w:pPr>
            <w:r>
              <w:rPr>
                <w:rFonts w:ascii="Calibri" w:hAnsi="Calibri"/>
                <w:b/>
                <w:i w:val="0"/>
                <w:color w:val="2E74B5"/>
                <w:sz w:val="21"/>
              </w:rPr>
              <w:t>Méthodes privées</w:t>
            </w:r>
          </w:p>
          <w:p>
            <w:pPr>
              <w:spacing w:before="0" w:after="0" w:line="288" w:lineRule="auto"/>
            </w:pPr>
            <w:r>
              <w:rPr>
                <w:rFonts w:ascii="Calibri" w:hAnsi="Calibri"/>
                <w:b w:val="0"/>
                <w:i w:val="0"/>
                <w:color w:val="000000"/>
                <w:sz w:val="20"/>
              </w:rPr>
              <w:t>Les noms commençant par _ sont des détails d'implémentation. Ils sont utiles pour comprendre ou profiler la classe, mais un notebook utilisateur ne devrait normalement pas les appeler.</w:t>
            </w:r>
          </w:p>
        </w:tc>
      </w:tr>
    </w:tbl>
    <w:p>
      <w:pPr>
        <w:spacing w:before="0" w:after="40" w:line="300" w:lineRule="auto"/>
      </w:pPr>
    </w:p>
    <w:p>
      <w:pPr>
        <w:pStyle w:val="Heading1"/>
      </w:pPr>
      <w:r>
        <w:t>16. Exemple mental avec le modèle SOC</w:t>
      </w:r>
    </w:p>
    <w:p>
      <w:pPr>
        <w:numPr>
          <w:ilvl w:val="0"/>
          <w:numId w:val="27"/>
        </w:numPr>
      </w:pPr>
      <w:r>
        <w:rPr>
          <w:rFonts w:ascii="Calibri" w:hAnsi="Calibri"/>
          <w:b/>
          <w:i w:val="0"/>
          <w:color w:val="0B2545"/>
          <w:sz w:val="21"/>
        </w:rPr>
        <w:t>Le modèle</w:t>
      </w:r>
      <w:r>
        <w:rPr>
          <w:rFonts w:ascii="Calibri" w:hAnsi="Calibri"/>
          <w:b w:val="0"/>
          <w:i w:val="0"/>
          <w:color w:val="000000"/>
          <w:sz w:val="21"/>
        </w:rPr>
        <w:t xml:space="preserve"> — build_soc_hamiltonian retourne H_raw(k), J_raw(k) et mu_opt(k), chacun de forme (N_k,6,6).</w:t>
      </w:r>
    </w:p>
    <w:p>
      <w:pPr>
        <w:numPr>
          <w:ilvl w:val="0"/>
          <w:numId w:val="28"/>
        </w:numPr>
      </w:pPr>
      <w:r>
        <w:rPr>
          <w:rFonts w:ascii="Calibri" w:hAnsi="Calibri"/>
          <w:b/>
          <w:i w:val="0"/>
          <w:color w:val="0B2545"/>
          <w:sz w:val="21"/>
        </w:rPr>
        <w:t>Le chargement</w:t>
      </w:r>
      <w:r>
        <w:rPr>
          <w:rFonts w:ascii="Calibri" w:hAnsi="Calibri"/>
          <w:b w:val="0"/>
          <w:i w:val="0"/>
          <w:color w:val="000000"/>
          <w:sz w:val="21"/>
        </w:rPr>
        <w:t xml:space="preserve"> — feed_model diagonalise cent Hamiltoniens 6 x 6 si N_k=100.</w:t>
      </w:r>
    </w:p>
    <w:p>
      <w:pPr>
        <w:numPr>
          <w:ilvl w:val="0"/>
          <w:numId w:val="29"/>
        </w:numPr>
      </w:pPr>
      <w:r>
        <w:rPr>
          <w:rFonts w:ascii="Calibri" w:hAnsi="Calibri"/>
          <w:b/>
          <w:i w:val="0"/>
          <w:color w:val="0B2545"/>
          <w:sz w:val="21"/>
        </w:rPr>
        <w:t>Liouville</w:t>
      </w:r>
      <w:r>
        <w:rPr>
          <w:rFonts w:ascii="Calibri" w:hAnsi="Calibri"/>
          <w:b w:val="0"/>
          <w:i w:val="0"/>
          <w:color w:val="000000"/>
          <w:sz w:val="21"/>
        </w:rPr>
        <w:t xml:space="preserve"> — Chaque rho 6 x 6 devient un vecteur de longueur 36; chaque superopérateur dense est 36 x 36.</w:t>
      </w:r>
    </w:p>
    <w:p>
      <w:pPr>
        <w:numPr>
          <w:ilvl w:val="0"/>
          <w:numId w:val="30"/>
        </w:numPr>
      </w:pPr>
      <w:r>
        <w:rPr>
          <w:rFonts w:ascii="Calibri" w:hAnsi="Calibri"/>
          <w:b/>
          <w:i w:val="0"/>
          <w:color w:val="0B2545"/>
          <w:sz w:val="21"/>
        </w:rPr>
        <w:t>Dissipation</w:t>
      </w:r>
      <w:r>
        <w:rPr>
          <w:rFonts w:ascii="Calibri" w:hAnsi="Calibri"/>
          <w:b w:val="0"/>
          <w:i w:val="0"/>
          <w:color w:val="000000"/>
          <w:sz w:val="21"/>
        </w:rPr>
        <w:t xml:space="preserve"> — Les trois opérateurs du modèle SOC sont projetés dans la base propre pour chaque k.</w:t>
      </w:r>
    </w:p>
    <w:p>
      <w:pPr>
        <w:numPr>
          <w:ilvl w:val="0"/>
          <w:numId w:val="31"/>
        </w:numPr>
      </w:pPr>
      <w:r>
        <w:rPr>
          <w:rFonts w:ascii="Calibri" w:hAnsi="Calibri"/>
          <w:b/>
          <w:i w:val="0"/>
          <w:color w:val="0B2545"/>
          <w:sz w:val="21"/>
        </w:rPr>
        <w:t>UFSS</w:t>
      </w:r>
      <w:r>
        <w:rPr>
          <w:rFonts w:ascii="Calibri" w:hAnsi="Calibri"/>
          <w:b w:val="0"/>
          <w:i w:val="0"/>
          <w:color w:val="000000"/>
          <w:sz w:val="21"/>
        </w:rPr>
        <w:t xml:space="preserve"> — Les conditions (-,+,+) et (+,-,+) produisent les groupes rephasing et unrephasing.</w:t>
      </w:r>
    </w:p>
    <w:p>
      <w:pPr>
        <w:numPr>
          <w:ilvl w:val="0"/>
          <w:numId w:val="32"/>
        </w:numPr>
      </w:pPr>
      <w:r>
        <w:rPr>
          <w:rFonts w:ascii="Calibri" w:hAnsi="Calibri"/>
          <w:b/>
          <w:i w:val="0"/>
          <w:color w:val="0B2545"/>
          <w:sz w:val="21"/>
        </w:rPr>
        <w:t>Scan</w:t>
      </w:r>
      <w:r>
        <w:rPr>
          <w:rFonts w:ascii="Calibri" w:hAnsi="Calibri"/>
          <w:b w:val="0"/>
          <w:i w:val="0"/>
          <w:color w:val="000000"/>
          <w:sz w:val="21"/>
        </w:rPr>
        <w:t xml:space="preserve"> — Une grille de 100 fréquences implique 10 000 couples (omega1,omega3), chacun intégré sur 100 points k.</w:t>
      </w:r>
    </w:p>
    <w:p>
      <w:pPr>
        <w:numPr>
          <w:ilvl w:val="0"/>
          <w:numId w:val="33"/>
        </w:numPr>
      </w:pPr>
      <w:r>
        <w:rPr>
          <w:rFonts w:ascii="Calibri" w:hAnsi="Calibri"/>
          <w:b/>
          <w:i w:val="0"/>
          <w:color w:val="0B2545"/>
          <w:sz w:val="21"/>
        </w:rPr>
        <w:t>Sortie</w:t>
      </w:r>
      <w:r>
        <w:rPr>
          <w:rFonts w:ascii="Calibri" w:hAnsi="Calibri"/>
          <w:b w:val="0"/>
          <w:i w:val="0"/>
          <w:color w:val="000000"/>
          <w:sz w:val="21"/>
        </w:rPr>
        <w:t xml:space="preserve"> — Le dict spectra contient des matrices 100 x 100; generate_2D_pathways ajoute six matrices séparées.</w:t>
      </w:r>
    </w:p>
    <w:p>
      <w:pPr>
        <w:spacing w:before="60" w:after="160" w:line="240" w:lineRule="auto"/>
        <w:ind w:left="259" w:right="259"/>
        <w:shd w:fill="F2F4F7"/>
      </w:pPr>
      <w:r>
        <w:rPr>
          <w:rFonts w:ascii="Consolas" w:hAnsi="Consolas"/>
          <w:b w:val="0"/>
          <w:i w:val="0"/>
          <w:color w:val="0B2545"/>
          <w:sz w:val="17"/>
        </w:rPr>
        <w:t>params = {</w:t>
      </w:r>
      <w:r>
        <w:br/>
      </w:r>
      <w:r>
        <w:rPr>
          <w:rFonts w:ascii="Consolas" w:hAnsi="Consolas"/>
          <w:b w:val="0"/>
          <w:i w:val="0"/>
          <w:color w:val="0B2545"/>
          <w:sz w:val="17"/>
        </w:rPr>
        <w:t xml:space="preserve">    "Eta": 0.1,</w:t>
      </w:r>
      <w:r>
        <w:br/>
      </w:r>
      <w:r>
        <w:rPr>
          <w:rFonts w:ascii="Consolas" w:hAnsi="Consolas"/>
          <w:b w:val="0"/>
          <w:i w:val="0"/>
          <w:color w:val="0B2545"/>
          <w:sz w:val="17"/>
        </w:rPr>
        <w:t xml:space="preserve">    "T": 7.0,</w:t>
      </w:r>
      <w:r>
        <w:br/>
      </w:r>
      <w:r>
        <w:rPr>
          <w:rFonts w:ascii="Consolas" w:hAnsi="Consolas"/>
          <w:b w:val="0"/>
          <w:i w:val="0"/>
          <w:color w:val="0B2545"/>
          <w:sz w:val="17"/>
        </w:rPr>
        <w:t xml:space="preserve">    "backend": "auto",</w:t>
      </w:r>
      <w:r>
        <w:br/>
      </w:r>
      <w:r>
        <w:rPr>
          <w:rFonts w:ascii="Consolas" w:hAnsi="Consolas"/>
          <w:b w:val="0"/>
          <w:i w:val="0"/>
          <w:color w:val="0B2545"/>
          <w:sz w:val="17"/>
        </w:rPr>
        <w:t xml:space="preserve">    "parallel_backend": "serial",</w:t>
      </w:r>
      <w:r>
        <w:br/>
      </w:r>
      <w:r>
        <w:rPr>
          <w:rFonts w:ascii="Consolas" w:hAnsi="Consolas"/>
          <w:b w:val="0"/>
          <w:i w:val="0"/>
          <w:color w:val="0B2545"/>
          <w:sz w:val="17"/>
        </w:rPr>
        <w:t xml:space="preserve">    "n_jobs": 1,</w:t>
      </w:r>
      <w:r>
        <w:br/>
      </w:r>
      <w:r>
        <w:rPr>
          <w:rFonts w:ascii="Consolas" w:hAnsi="Consolas"/>
          <w:b w:val="0"/>
          <w:i w:val="0"/>
          <w:color w:val="0B2545"/>
          <w:sz w:val="17"/>
        </w:rPr>
        <w:t>}</w:t>
      </w:r>
      <w:r>
        <w:br/>
      </w:r>
      <w:r>
        <w:rPr>
          <w:rFonts w:ascii="Consolas" w:hAnsi="Consolas"/>
          <w:b w:val="0"/>
          <w:i w:val="0"/>
          <w:color w:val="0B2545"/>
          <w:sz w:val="17"/>
        </w:rPr>
      </w:r>
      <w:r>
        <w:br/>
      </w:r>
      <w:r>
        <w:rPr>
          <w:rFonts w:ascii="Consolas" w:hAnsi="Consolas"/>
          <w:b w:val="0"/>
          <w:i w:val="0"/>
          <w:color w:val="0B2545"/>
          <w:sz w:val="17"/>
        </w:rPr>
        <w:t>system = LiouvilleSpectroscopySolver(params)</w:t>
      </w:r>
      <w:r>
        <w:br/>
      </w:r>
      <w:r>
        <w:rPr>
          <w:rFonts w:ascii="Consolas" w:hAnsi="Consolas"/>
          <w:b w:val="0"/>
          <w:i w:val="0"/>
          <w:color w:val="0B2545"/>
          <w:sz w:val="17"/>
        </w:rPr>
        <w:t>system.feed_model(H_raw, mu_opt, interaction_type="dipole")</w:t>
      </w:r>
      <w:r>
        <w:br/>
      </w:r>
      <w:r>
        <w:rPr>
          <w:rFonts w:ascii="Consolas" w:hAnsi="Consolas"/>
          <w:b w:val="0"/>
          <w:i w:val="0"/>
          <w:color w:val="0B2545"/>
          <w:sz w:val="17"/>
        </w:rPr>
        <w:t>system.set_dissipation(c_ops, basis="site")</w:t>
      </w:r>
      <w:r>
        <w:br/>
      </w:r>
      <w:r>
        <w:rPr>
          <w:rFonts w:ascii="Consolas" w:hAnsi="Consolas"/>
          <w:b w:val="0"/>
          <w:i w:val="0"/>
          <w:color w:val="0B2545"/>
          <w:sz w:val="17"/>
        </w:rPr>
        <w:t>system.configure_standard_2d_pathways_with_ufss([0, 100, 200, 300])</w:t>
      </w:r>
      <w:r>
        <w:br/>
      </w:r>
      <w:r>
        <w:rPr>
          <w:rFonts w:ascii="Consolas" w:hAnsi="Consolas"/>
          <w:b w:val="0"/>
          <w:i w:val="0"/>
          <w:color w:val="0B2545"/>
          <w:sz w:val="17"/>
        </w:rPr>
        <w:t>spectra = system.generate_2D_spectra(w_list, tau2=3, k_array=k_array)</w:t>
      </w:r>
    </w:p>
    <w:p>
      <w:pPr>
        <w:pStyle w:val="Heading1"/>
      </w:pPr>
      <w:r>
        <w:t>17. Réglages recommandés et points à valider</w:t>
      </w:r>
    </w:p>
    <w:p>
      <w:pPr>
        <w:pStyle w:val="Heading2"/>
      </w:pPr>
      <w:r>
        <w:t>17.1 Configuration pédagogique et robuste</w:t>
      </w:r>
    </w:p>
    <w:p>
      <w:pPr>
        <w:spacing w:before="60" w:after="160" w:line="240" w:lineRule="auto"/>
        <w:ind w:left="259" w:right="259"/>
        <w:shd w:fill="F2F4F7"/>
      </w:pPr>
      <w:r>
        <w:rPr>
          <w:rFonts w:ascii="Consolas" w:hAnsi="Consolas"/>
          <w:b w:val="0"/>
          <w:i w:val="0"/>
          <w:color w:val="0B2545"/>
          <w:sz w:val="17"/>
        </w:rPr>
        <w:t>"backend": "auto",</w:t>
      </w:r>
      <w:r>
        <w:br/>
      </w:r>
      <w:r>
        <w:rPr>
          <w:rFonts w:ascii="Consolas" w:hAnsi="Consolas"/>
          <w:b w:val="0"/>
          <w:i w:val="0"/>
          <w:color w:val="0B2545"/>
          <w:sz w:val="17"/>
        </w:rPr>
        <w:t>"parallel_backend": "serial",</w:t>
      </w:r>
      <w:r>
        <w:br/>
      </w:r>
      <w:r>
        <w:rPr>
          <w:rFonts w:ascii="Consolas" w:hAnsi="Consolas"/>
          <w:b w:val="0"/>
          <w:i w:val="0"/>
          <w:color w:val="0B2545"/>
          <w:sz w:val="17"/>
        </w:rPr>
        <w:t>"n_jobs": 1,</w:t>
      </w:r>
      <w:r>
        <w:br/>
      </w:r>
      <w:r>
        <w:rPr>
          <w:rFonts w:ascii="Consolas" w:hAnsi="Consolas"/>
          <w:b w:val="0"/>
          <w:i w:val="0"/>
          <w:color w:val="0B2545"/>
          <w:sz w:val="17"/>
        </w:rPr>
        <w:t>"blas_threads": 1,</w:t>
      </w:r>
      <w:r>
        <w:br/>
      </w:r>
      <w:r>
        <w:rPr>
          <w:rFonts w:ascii="Consolas" w:hAnsi="Consolas"/>
          <w:b w:val="0"/>
          <w:i w:val="0"/>
          <w:color w:val="0B2545"/>
          <w:sz w:val="17"/>
        </w:rPr>
        <w:t>"cache_resolvents": True,</w:t>
      </w:r>
      <w:r>
        <w:br/>
      </w:r>
      <w:r>
        <w:rPr>
          <w:rFonts w:ascii="Consolas" w:hAnsi="Consolas"/>
          <w:b w:val="0"/>
          <w:i w:val="0"/>
          <w:color w:val="0B2545"/>
          <w:sz w:val="17"/>
        </w:rPr>
        <w:t>"cache_sparse_tau2": False,</w:t>
      </w:r>
    </w:p>
    <w:p>
      <w:pPr>
        <w:pStyle w:val="Heading2"/>
      </w:pPr>
      <w:r>
        <w:t>17.2 Configuration à tester ensuite</w:t>
      </w:r>
    </w:p>
    <w:p>
      <w:pPr>
        <w:spacing w:before="60" w:after="160" w:line="240" w:lineRule="auto"/>
        <w:ind w:left="259" w:right="259"/>
        <w:shd w:fill="F2F4F7"/>
      </w:pPr>
      <w:r>
        <w:rPr>
          <w:rFonts w:ascii="Consolas" w:hAnsi="Consolas"/>
          <w:b w:val="0"/>
          <w:i w:val="0"/>
          <w:color w:val="0B2545"/>
          <w:sz w:val="17"/>
        </w:rPr>
        <w:t>"parallel_backend": "threading",</w:t>
      </w:r>
      <w:r>
        <w:br/>
      </w:r>
      <w:r>
        <w:rPr>
          <w:rFonts w:ascii="Consolas" w:hAnsi="Consolas"/>
          <w:b w:val="0"/>
          <w:i w:val="0"/>
          <w:color w:val="0B2545"/>
          <w:sz w:val="17"/>
        </w:rPr>
        <w:t>"n_jobs": 2,       # puis 4</w:t>
      </w:r>
      <w:r>
        <w:br/>
      </w:r>
      <w:r>
        <w:rPr>
          <w:rFonts w:ascii="Consolas" w:hAnsi="Consolas"/>
          <w:b w:val="0"/>
          <w:i w:val="0"/>
          <w:color w:val="0B2545"/>
          <w:sz w:val="17"/>
        </w:rPr>
        <w:t>"blas_threads": 1,</w:t>
      </w:r>
    </w:p>
    <w:p>
      <w:pPr>
        <w:pStyle w:val="Heading2"/>
      </w:pPr>
      <w:r>
        <w:t>17.3 Points de comportement à connaître</w:t>
      </w:r>
    </w:p>
    <w:p>
      <w:pPr>
        <w:numPr>
          <w:ilvl w:val="0"/>
          <w:numId w:val="10"/>
        </w:numPr>
      </w:pPr>
      <w:r>
        <w:rPr>
          <w:rFonts w:ascii="Calibri" w:hAnsi="Calibri"/>
          <w:b w:val="0"/>
          <w:i w:val="0"/>
          <w:color w:val="000000"/>
          <w:sz w:val="21"/>
        </w:rPr>
        <w:t>L'intégration utilise actuellement dk = (k_max-k_min)/N_k, et non l'espacement np.diff(k)[0] = (k_max-k_min)/(N_k-1) pour une grille incluant les deux bornes.</w:t>
      </w:r>
    </w:p>
    <w:p>
      <w:pPr>
        <w:numPr>
          <w:ilvl w:val="0"/>
          <w:numId w:val="10"/>
        </w:numPr>
      </w:pPr>
      <w:r>
        <w:rPr>
          <w:rFonts w:ascii="Calibri" w:hAnsi="Calibri"/>
          <w:b w:val="0"/>
          <w:i w:val="0"/>
          <w:color w:val="000000"/>
          <w:sz w:val="21"/>
        </w:rPr>
        <w:t>Le potentiel chimique scalaire mu se simplifie dans l'état thermique actuel après le recentrage des énergies.</w:t>
      </w:r>
    </w:p>
    <w:p>
      <w:pPr>
        <w:numPr>
          <w:ilvl w:val="0"/>
          <w:numId w:val="10"/>
        </w:numPr>
      </w:pPr>
      <w:r>
        <w:rPr>
          <w:rFonts w:ascii="Calibri" w:hAnsi="Calibri"/>
          <w:b w:val="0"/>
          <w:i w:val="0"/>
          <w:color w:val="000000"/>
          <w:sz w:val="21"/>
        </w:rPr>
        <w:t>La détection utilise une action gauche de J_plus + J_minus suivie de la trace; cette convention doit rester cohérente avec la définition physique du signal.</w:t>
      </w:r>
    </w:p>
    <w:p>
      <w:pPr>
        <w:numPr>
          <w:ilvl w:val="0"/>
          <w:numId w:val="10"/>
        </w:numPr>
      </w:pPr>
      <w:r>
        <w:rPr>
          <w:rFonts w:ascii="Calibri" w:hAnsi="Calibri"/>
          <w:b w:val="0"/>
          <w:i w:val="0"/>
          <w:color w:val="000000"/>
          <w:sz w:val="21"/>
        </w:rPr>
        <w:t>generate_2D_pathways n'est pas encore parallélisé et peut être le calcul le plus lent lorsque les six pathways sont demandés.</w:t>
      </w:r>
    </w:p>
    <w:p>
      <w:pPr>
        <w:numPr>
          <w:ilvl w:val="0"/>
          <w:numId w:val="10"/>
        </w:numPr>
      </w:pPr>
      <w:r>
        <w:rPr>
          <w:rFonts w:ascii="Calibri" w:hAnsi="Calibri"/>
          <w:b w:val="0"/>
          <w:i w:val="0"/>
          <w:color w:val="000000"/>
          <w:sz w:val="21"/>
        </w:rPr>
        <w:t>Les caches et objets du solver sont partagés entre threads mais copiés entre processus; le gain dépend donc fortement de la taille du modèle.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E"/>
          </w:tcPr>
          <w:p>
            <w:pPr>
              <w:spacing w:before="0" w:after="60" w:line="264" w:lineRule="auto"/>
            </w:pPr>
            <w:r>
              <w:rPr>
                <w:rFonts w:ascii="Calibri" w:hAnsi="Calibri"/>
                <w:b/>
                <w:i w:val="0"/>
                <w:color w:val="7A5A00"/>
                <w:sz w:val="21"/>
              </w:rPr>
              <w:t>Principe de validation</w:t>
            </w:r>
          </w:p>
          <w:p>
            <w:pPr>
              <w:spacing w:before="0" w:after="0" w:line="288" w:lineRule="auto"/>
            </w:pPr>
            <w:r>
              <w:rPr>
                <w:rFonts w:ascii="Calibri" w:hAnsi="Calibri"/>
                <w:b w:val="0"/>
                <w:i w:val="0"/>
                <w:color w:val="000000"/>
                <w:sz w:val="20"/>
              </w:rPr>
              <w:t>Comparer toujours un petit scan serial à toute nouvelle configuration parallèle, puis vérifier max(abs(S_parallel-S_serial)). Le benchmark intégré automatise exactement cette comparaison.</w:t>
            </w:r>
          </w:p>
        </w:tc>
      </w:tr>
    </w:tbl>
    <w:p>
      <w:pPr>
        <w:spacing w:before="0" w:after="40" w:line="300" w:lineRule="auto"/>
      </w:pPr>
    </w:p>
    <w:p>
      <w:pPr>
        <w:pStyle w:val="Heading1"/>
      </w:pPr>
      <w:r>
        <w:t>Annexe A — Les six pathways standards</w:t>
      </w:r>
    </w:p>
    <w:tbl>
      <w:tblPr>
        <w:tblStyle w:val="TableGrid"/>
        <w:tblW w:type="dxa" w:w="9360"/>
        <w:jc w:val="left"/>
        <w:tblLayout w:type="fixed"/>
        <w:tblLook w:firstColumn="1" w:firstRow="1" w:lastColumn="0" w:lastRow="0" w:noHBand="0" w:noVBand="1" w:val="04A0"/>
        <w:tblInd w:w="120" w:type="dxa"/>
      </w:tblPr>
      <w:tblGrid>
        <w:gridCol w:w="1200"/>
        <w:gridCol w:w="2100"/>
        <w:gridCol w:w="2600"/>
        <w:gridCol w:w="1300"/>
        <w:gridCol w:w="2160"/>
      </w:tblGrid>
      <w:tr>
        <w:trPr>
          <w:tblHeader w:val="true"/>
        </w:trPr>
        <w:tc>
          <w:tcPr>
            <w:tcW w:type="dxa" w:w="120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8"/>
              </w:rPr>
              <w:t>Nom</w:t>
            </w:r>
          </w:p>
        </w:tc>
        <w:tc>
          <w:tcPr>
            <w:tcW w:type="dxa" w:w="210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8"/>
              </w:rPr>
              <w:t>Groupe</w:t>
            </w:r>
          </w:p>
        </w:tc>
        <w:tc>
          <w:tcPr>
            <w:tcW w:type="dxa" w:w="260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8"/>
              </w:rPr>
              <w:t>Séquence UFSS</w:t>
            </w:r>
          </w:p>
        </w:tc>
        <w:tc>
          <w:tcPr>
            <w:tcW w:type="dxa" w:w="130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8"/>
              </w:rPr>
              <w:t>N bra</w:t>
            </w:r>
          </w:p>
        </w:tc>
        <w:tc>
          <w:tcPr>
            <w:tcW w:type="dxa" w:w="216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8"/>
              </w:rPr>
              <w:t>Coefficient</w:t>
            </w:r>
          </w:p>
        </w:tc>
      </w:tr>
      <w:tr>
        <w:tc>
          <w:tcPr>
            <w:tcW w:type="dxa" w:w="1200"/>
          </w:tcPr>
          <w:p>
            <w:pPr>
              <w:spacing w:before="0" w:after="0" w:line="264" w:lineRule="auto"/>
              <w:jc w:val="left"/>
            </w:pPr>
            <w:r>
              <w:rPr>
                <w:rFonts w:ascii="Calibri" w:hAnsi="Calibri"/>
                <w:b w:val="0"/>
                <w:i w:val="0"/>
                <w:color w:val="000000"/>
                <w:sz w:val="18"/>
              </w:rPr>
              <w:t>R1</w:t>
            </w:r>
          </w:p>
        </w:tc>
        <w:tc>
          <w:tcPr>
            <w:tcW w:type="dxa" w:w="2100"/>
          </w:tcPr>
          <w:p>
            <w:pPr>
              <w:spacing w:before="0" w:after="0" w:line="264" w:lineRule="auto"/>
              <w:jc w:val="center"/>
            </w:pPr>
            <w:r>
              <w:rPr>
                <w:rFonts w:ascii="Calibri" w:hAnsi="Calibri"/>
                <w:b w:val="0"/>
                <w:i w:val="0"/>
                <w:color w:val="000000"/>
                <w:sz w:val="18"/>
              </w:rPr>
              <w:t>rephasing</w:t>
            </w:r>
          </w:p>
        </w:tc>
        <w:tc>
          <w:tcPr>
            <w:tcW w:type="dxa" w:w="2600"/>
          </w:tcPr>
          <w:p>
            <w:pPr>
              <w:spacing w:before="0" w:after="0" w:line="264" w:lineRule="auto"/>
              <w:jc w:val="center"/>
            </w:pPr>
            <w:r>
              <w:rPr>
                <w:rFonts w:ascii="Calibri" w:hAnsi="Calibri"/>
                <w:b w:val="0"/>
                <w:i w:val="0"/>
                <w:color w:val="000000"/>
                <w:sz w:val="18"/>
              </w:rPr>
              <w:t>Bu, Ku, Bd</w:t>
            </w:r>
          </w:p>
        </w:tc>
        <w:tc>
          <w:tcPr>
            <w:tcW w:type="dxa" w:w="1300"/>
          </w:tcPr>
          <w:p>
            <w:pPr>
              <w:spacing w:before="0" w:after="0" w:line="264" w:lineRule="auto"/>
              <w:jc w:val="center"/>
            </w:pPr>
            <w:r>
              <w:rPr>
                <w:rFonts w:ascii="Calibri" w:hAnsi="Calibri"/>
                <w:b w:val="0"/>
                <w:i w:val="0"/>
                <w:color w:val="000000"/>
                <w:sz w:val="18"/>
              </w:rPr>
              <w:t>2</w:t>
            </w:r>
          </w:p>
        </w:tc>
        <w:tc>
          <w:tcPr>
            <w:tcW w:type="dxa" w:w="2160"/>
          </w:tcPr>
          <w:p>
            <w:pPr>
              <w:spacing w:before="0" w:after="0" w:line="264" w:lineRule="auto"/>
              <w:jc w:val="center"/>
            </w:pPr>
            <w:r>
              <w:rPr>
                <w:rFonts w:ascii="Calibri" w:hAnsi="Calibri"/>
                <w:b w:val="0"/>
                <w:i w:val="0"/>
                <w:color w:val="000000"/>
                <w:sz w:val="18"/>
              </w:rPr>
              <w:t>+1</w:t>
            </w:r>
          </w:p>
        </w:tc>
      </w:tr>
      <w:tr>
        <w:tc>
          <w:tcPr>
            <w:tcW w:type="dxa" w:w="1200"/>
          </w:tcPr>
          <w:p>
            <w:pPr>
              <w:spacing w:before="0" w:after="0" w:line="264" w:lineRule="auto"/>
              <w:jc w:val="left"/>
            </w:pPr>
            <w:r>
              <w:rPr>
                <w:rFonts w:ascii="Calibri" w:hAnsi="Calibri"/>
                <w:b w:val="0"/>
                <w:i w:val="0"/>
                <w:color w:val="000000"/>
                <w:sz w:val="18"/>
              </w:rPr>
              <w:t>R2</w:t>
            </w:r>
          </w:p>
        </w:tc>
        <w:tc>
          <w:tcPr>
            <w:tcW w:type="dxa" w:w="2100"/>
          </w:tcPr>
          <w:p>
            <w:pPr>
              <w:spacing w:before="0" w:after="0" w:line="264" w:lineRule="auto"/>
              <w:jc w:val="center"/>
            </w:pPr>
            <w:r>
              <w:rPr>
                <w:rFonts w:ascii="Calibri" w:hAnsi="Calibri"/>
                <w:b w:val="0"/>
                <w:i w:val="0"/>
                <w:color w:val="000000"/>
                <w:sz w:val="18"/>
              </w:rPr>
              <w:t>rephasing</w:t>
            </w:r>
          </w:p>
        </w:tc>
        <w:tc>
          <w:tcPr>
            <w:tcW w:type="dxa" w:w="2600"/>
          </w:tcPr>
          <w:p>
            <w:pPr>
              <w:spacing w:before="0" w:after="0" w:line="264" w:lineRule="auto"/>
              <w:jc w:val="center"/>
            </w:pPr>
            <w:r>
              <w:rPr>
                <w:rFonts w:ascii="Calibri" w:hAnsi="Calibri"/>
                <w:b w:val="0"/>
                <w:i w:val="0"/>
                <w:color w:val="000000"/>
                <w:sz w:val="18"/>
              </w:rPr>
              <w:t>Bu, Bd, Ku</w:t>
            </w:r>
          </w:p>
        </w:tc>
        <w:tc>
          <w:tcPr>
            <w:tcW w:type="dxa" w:w="1300"/>
          </w:tcPr>
          <w:p>
            <w:pPr>
              <w:spacing w:before="0" w:after="0" w:line="264" w:lineRule="auto"/>
              <w:jc w:val="center"/>
            </w:pPr>
            <w:r>
              <w:rPr>
                <w:rFonts w:ascii="Calibri" w:hAnsi="Calibri"/>
                <w:b w:val="0"/>
                <w:i w:val="0"/>
                <w:color w:val="000000"/>
                <w:sz w:val="18"/>
              </w:rPr>
              <w:t>2</w:t>
            </w:r>
          </w:p>
        </w:tc>
        <w:tc>
          <w:tcPr>
            <w:tcW w:type="dxa" w:w="2160"/>
          </w:tcPr>
          <w:p>
            <w:pPr>
              <w:spacing w:before="0" w:after="0" w:line="264" w:lineRule="auto"/>
              <w:jc w:val="center"/>
            </w:pPr>
            <w:r>
              <w:rPr>
                <w:rFonts w:ascii="Calibri" w:hAnsi="Calibri"/>
                <w:b w:val="0"/>
                <w:i w:val="0"/>
                <w:color w:val="000000"/>
                <w:sz w:val="18"/>
              </w:rPr>
              <w:t>+1</w:t>
            </w:r>
          </w:p>
        </w:tc>
      </w:tr>
      <w:tr>
        <w:tc>
          <w:tcPr>
            <w:tcW w:type="dxa" w:w="1200"/>
          </w:tcPr>
          <w:p>
            <w:pPr>
              <w:spacing w:before="0" w:after="0" w:line="264" w:lineRule="auto"/>
              <w:jc w:val="left"/>
            </w:pPr>
            <w:r>
              <w:rPr>
                <w:rFonts w:ascii="Calibri" w:hAnsi="Calibri"/>
                <w:b w:val="0"/>
                <w:i w:val="0"/>
                <w:color w:val="000000"/>
                <w:sz w:val="18"/>
              </w:rPr>
              <w:t>R3</w:t>
            </w:r>
          </w:p>
        </w:tc>
        <w:tc>
          <w:tcPr>
            <w:tcW w:type="dxa" w:w="2100"/>
          </w:tcPr>
          <w:p>
            <w:pPr>
              <w:spacing w:before="0" w:after="0" w:line="264" w:lineRule="auto"/>
              <w:jc w:val="center"/>
            </w:pPr>
            <w:r>
              <w:rPr>
                <w:rFonts w:ascii="Calibri" w:hAnsi="Calibri"/>
                <w:b w:val="0"/>
                <w:i w:val="0"/>
                <w:color w:val="000000"/>
                <w:sz w:val="18"/>
              </w:rPr>
              <w:t>rephasing</w:t>
            </w:r>
          </w:p>
        </w:tc>
        <w:tc>
          <w:tcPr>
            <w:tcW w:type="dxa" w:w="2600"/>
          </w:tcPr>
          <w:p>
            <w:pPr>
              <w:spacing w:before="0" w:after="0" w:line="264" w:lineRule="auto"/>
              <w:jc w:val="center"/>
            </w:pPr>
            <w:r>
              <w:rPr>
                <w:rFonts w:ascii="Calibri" w:hAnsi="Calibri"/>
                <w:b w:val="0"/>
                <w:i w:val="0"/>
                <w:color w:val="000000"/>
                <w:sz w:val="18"/>
              </w:rPr>
              <w:t>Bu, Ku, Ku</w:t>
            </w:r>
          </w:p>
        </w:tc>
        <w:tc>
          <w:tcPr>
            <w:tcW w:type="dxa" w:w="1300"/>
          </w:tcPr>
          <w:p>
            <w:pPr>
              <w:spacing w:before="0" w:after="0" w:line="264" w:lineRule="auto"/>
              <w:jc w:val="center"/>
            </w:pPr>
            <w:r>
              <w:rPr>
                <w:rFonts w:ascii="Calibri" w:hAnsi="Calibri"/>
                <w:b w:val="0"/>
                <w:i w:val="0"/>
                <w:color w:val="000000"/>
                <w:sz w:val="18"/>
              </w:rPr>
              <w:t>1</w:t>
            </w:r>
          </w:p>
        </w:tc>
        <w:tc>
          <w:tcPr>
            <w:tcW w:type="dxa" w:w="2160"/>
          </w:tcPr>
          <w:p>
            <w:pPr>
              <w:spacing w:before="0" w:after="0" w:line="264" w:lineRule="auto"/>
              <w:jc w:val="center"/>
            </w:pPr>
            <w:r>
              <w:rPr>
                <w:rFonts w:ascii="Calibri" w:hAnsi="Calibri"/>
                <w:b w:val="0"/>
                <w:i w:val="0"/>
                <w:color w:val="000000"/>
                <w:sz w:val="18"/>
              </w:rPr>
              <w:t>-1</w:t>
            </w:r>
          </w:p>
        </w:tc>
      </w:tr>
      <w:tr>
        <w:tc>
          <w:tcPr>
            <w:tcW w:type="dxa" w:w="1200"/>
          </w:tcPr>
          <w:p>
            <w:pPr>
              <w:spacing w:before="0" w:after="0" w:line="264" w:lineRule="auto"/>
              <w:jc w:val="left"/>
            </w:pPr>
            <w:r>
              <w:rPr>
                <w:rFonts w:ascii="Calibri" w:hAnsi="Calibri"/>
                <w:b w:val="0"/>
                <w:i w:val="0"/>
                <w:color w:val="000000"/>
                <w:sz w:val="18"/>
              </w:rPr>
              <w:t>R4</w:t>
            </w:r>
          </w:p>
        </w:tc>
        <w:tc>
          <w:tcPr>
            <w:tcW w:type="dxa" w:w="2100"/>
          </w:tcPr>
          <w:p>
            <w:pPr>
              <w:spacing w:before="0" w:after="0" w:line="264" w:lineRule="auto"/>
              <w:jc w:val="center"/>
            </w:pPr>
            <w:r>
              <w:rPr>
                <w:rFonts w:ascii="Calibri" w:hAnsi="Calibri"/>
                <w:b w:val="0"/>
                <w:i w:val="0"/>
                <w:color w:val="000000"/>
                <w:sz w:val="18"/>
              </w:rPr>
              <w:t>unrephasing</w:t>
            </w:r>
          </w:p>
        </w:tc>
        <w:tc>
          <w:tcPr>
            <w:tcW w:type="dxa" w:w="2600"/>
          </w:tcPr>
          <w:p>
            <w:pPr>
              <w:spacing w:before="0" w:after="0" w:line="264" w:lineRule="auto"/>
              <w:jc w:val="center"/>
            </w:pPr>
            <w:r>
              <w:rPr>
                <w:rFonts w:ascii="Calibri" w:hAnsi="Calibri"/>
                <w:b w:val="0"/>
                <w:i w:val="0"/>
                <w:color w:val="000000"/>
                <w:sz w:val="18"/>
              </w:rPr>
              <w:t>Ku, Bu, Ku</w:t>
            </w:r>
          </w:p>
        </w:tc>
        <w:tc>
          <w:tcPr>
            <w:tcW w:type="dxa" w:w="1300"/>
          </w:tcPr>
          <w:p>
            <w:pPr>
              <w:spacing w:before="0" w:after="0" w:line="264" w:lineRule="auto"/>
              <w:jc w:val="center"/>
            </w:pPr>
            <w:r>
              <w:rPr>
                <w:rFonts w:ascii="Calibri" w:hAnsi="Calibri"/>
                <w:b w:val="0"/>
                <w:i w:val="0"/>
                <w:color w:val="000000"/>
                <w:sz w:val="18"/>
              </w:rPr>
              <w:t>1</w:t>
            </w:r>
          </w:p>
        </w:tc>
        <w:tc>
          <w:tcPr>
            <w:tcW w:type="dxa" w:w="2160"/>
          </w:tcPr>
          <w:p>
            <w:pPr>
              <w:spacing w:before="0" w:after="0" w:line="264" w:lineRule="auto"/>
              <w:jc w:val="center"/>
            </w:pPr>
            <w:r>
              <w:rPr>
                <w:rFonts w:ascii="Calibri" w:hAnsi="Calibri"/>
                <w:b w:val="0"/>
                <w:i w:val="0"/>
                <w:color w:val="000000"/>
                <w:sz w:val="18"/>
              </w:rPr>
              <w:t>-1</w:t>
            </w:r>
          </w:p>
        </w:tc>
      </w:tr>
      <w:tr>
        <w:tc>
          <w:tcPr>
            <w:tcW w:type="dxa" w:w="1200"/>
          </w:tcPr>
          <w:p>
            <w:pPr>
              <w:spacing w:before="0" w:after="0" w:line="264" w:lineRule="auto"/>
              <w:jc w:val="left"/>
            </w:pPr>
            <w:r>
              <w:rPr>
                <w:rFonts w:ascii="Calibri" w:hAnsi="Calibri"/>
                <w:b w:val="0"/>
                <w:i w:val="0"/>
                <w:color w:val="000000"/>
                <w:sz w:val="18"/>
              </w:rPr>
              <w:t>R5</w:t>
            </w:r>
          </w:p>
        </w:tc>
        <w:tc>
          <w:tcPr>
            <w:tcW w:type="dxa" w:w="2100"/>
          </w:tcPr>
          <w:p>
            <w:pPr>
              <w:spacing w:before="0" w:after="0" w:line="264" w:lineRule="auto"/>
              <w:jc w:val="center"/>
            </w:pPr>
            <w:r>
              <w:rPr>
                <w:rFonts w:ascii="Calibri" w:hAnsi="Calibri"/>
                <w:b w:val="0"/>
                <w:i w:val="0"/>
                <w:color w:val="000000"/>
                <w:sz w:val="18"/>
              </w:rPr>
              <w:t>unrephasing</w:t>
            </w:r>
          </w:p>
        </w:tc>
        <w:tc>
          <w:tcPr>
            <w:tcW w:type="dxa" w:w="2600"/>
          </w:tcPr>
          <w:p>
            <w:pPr>
              <w:spacing w:before="0" w:after="0" w:line="264" w:lineRule="auto"/>
              <w:jc w:val="center"/>
            </w:pPr>
            <w:r>
              <w:rPr>
                <w:rFonts w:ascii="Calibri" w:hAnsi="Calibri"/>
                <w:b w:val="0"/>
                <w:i w:val="0"/>
                <w:color w:val="000000"/>
                <w:sz w:val="18"/>
              </w:rPr>
              <w:t>Ku, Bu, Bd</w:t>
            </w:r>
          </w:p>
        </w:tc>
        <w:tc>
          <w:tcPr>
            <w:tcW w:type="dxa" w:w="1300"/>
          </w:tcPr>
          <w:p>
            <w:pPr>
              <w:spacing w:before="0" w:after="0" w:line="264" w:lineRule="auto"/>
              <w:jc w:val="center"/>
            </w:pPr>
            <w:r>
              <w:rPr>
                <w:rFonts w:ascii="Calibri" w:hAnsi="Calibri"/>
                <w:b w:val="0"/>
                <w:i w:val="0"/>
                <w:color w:val="000000"/>
                <w:sz w:val="18"/>
              </w:rPr>
              <w:t>2</w:t>
            </w:r>
          </w:p>
        </w:tc>
        <w:tc>
          <w:tcPr>
            <w:tcW w:type="dxa" w:w="2160"/>
          </w:tcPr>
          <w:p>
            <w:pPr>
              <w:spacing w:before="0" w:after="0" w:line="264" w:lineRule="auto"/>
              <w:jc w:val="center"/>
            </w:pPr>
            <w:r>
              <w:rPr>
                <w:rFonts w:ascii="Calibri" w:hAnsi="Calibri"/>
                <w:b w:val="0"/>
                <w:i w:val="0"/>
                <w:color w:val="000000"/>
                <w:sz w:val="18"/>
              </w:rPr>
              <w:t>+1</w:t>
            </w:r>
          </w:p>
        </w:tc>
      </w:tr>
      <w:tr>
        <w:tc>
          <w:tcPr>
            <w:tcW w:type="dxa" w:w="1200"/>
          </w:tcPr>
          <w:p>
            <w:pPr>
              <w:spacing w:before="0" w:after="0" w:line="264" w:lineRule="auto"/>
              <w:jc w:val="left"/>
            </w:pPr>
            <w:r>
              <w:rPr>
                <w:rFonts w:ascii="Calibri" w:hAnsi="Calibri"/>
                <w:b w:val="0"/>
                <w:i w:val="0"/>
                <w:color w:val="000000"/>
                <w:sz w:val="18"/>
              </w:rPr>
              <w:t>R6</w:t>
            </w:r>
          </w:p>
        </w:tc>
        <w:tc>
          <w:tcPr>
            <w:tcW w:type="dxa" w:w="2100"/>
          </w:tcPr>
          <w:p>
            <w:pPr>
              <w:spacing w:before="0" w:after="0" w:line="264" w:lineRule="auto"/>
              <w:jc w:val="center"/>
            </w:pPr>
            <w:r>
              <w:rPr>
                <w:rFonts w:ascii="Calibri" w:hAnsi="Calibri"/>
                <w:b w:val="0"/>
                <w:i w:val="0"/>
                <w:color w:val="000000"/>
                <w:sz w:val="18"/>
              </w:rPr>
              <w:t>unrephasing</w:t>
            </w:r>
          </w:p>
        </w:tc>
        <w:tc>
          <w:tcPr>
            <w:tcW w:type="dxa" w:w="2600"/>
          </w:tcPr>
          <w:p>
            <w:pPr>
              <w:spacing w:before="0" w:after="0" w:line="264" w:lineRule="auto"/>
              <w:jc w:val="center"/>
            </w:pPr>
            <w:r>
              <w:rPr>
                <w:rFonts w:ascii="Calibri" w:hAnsi="Calibri"/>
                <w:b w:val="0"/>
                <w:i w:val="0"/>
                <w:color w:val="000000"/>
                <w:sz w:val="18"/>
              </w:rPr>
              <w:t>Ku, Kd, Ku</w:t>
            </w:r>
          </w:p>
        </w:tc>
        <w:tc>
          <w:tcPr>
            <w:tcW w:type="dxa" w:w="1300"/>
          </w:tcPr>
          <w:p>
            <w:pPr>
              <w:spacing w:before="0" w:after="0" w:line="264" w:lineRule="auto"/>
              <w:jc w:val="center"/>
            </w:pPr>
            <w:r>
              <w:rPr>
                <w:rFonts w:ascii="Calibri" w:hAnsi="Calibri"/>
                <w:b w:val="0"/>
                <w:i w:val="0"/>
                <w:color w:val="000000"/>
                <w:sz w:val="18"/>
              </w:rPr>
              <w:t>0</w:t>
            </w:r>
          </w:p>
        </w:tc>
        <w:tc>
          <w:tcPr>
            <w:tcW w:type="dxa" w:w="2160"/>
          </w:tcPr>
          <w:p>
            <w:pPr>
              <w:spacing w:before="0" w:after="0" w:line="264" w:lineRule="auto"/>
              <w:jc w:val="center"/>
            </w:pPr>
            <w:r>
              <w:rPr>
                <w:rFonts w:ascii="Calibri" w:hAnsi="Calibri"/>
                <w:b w:val="0"/>
                <w:i w:val="0"/>
                <w:color w:val="000000"/>
                <w:sz w:val="18"/>
              </w:rPr>
              <w:t>+1</w:t>
            </w:r>
          </w:p>
        </w:tc>
      </w:tr>
    </w:tbl>
    <w:p>
      <w:pPr>
        <w:spacing w:before="0" w:after="40" w:line="300" w:lineRule="auto"/>
      </w:pPr>
    </w:p>
    <w:p>
      <w:pPr>
        <w:pStyle w:val="Heading1"/>
      </w:pPr>
      <w:r>
        <w:t>Annexe B — Glossaire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8"/>
              </w:rPr>
              <w:t>Terme</w:t>
            </w:r>
          </w:p>
        </w:tc>
        <w:tc>
          <w:tcPr>
            <w:tcW w:type="dxa" w:w="7260"/>
            <w:tcMar>
              <w:top w:w="80" w:type="dxa"/>
              <w:start w:w="120" w:type="dxa"/>
              <w:bottom w:w="80" w:type="dxa"/>
              <w:end w:w="120" w:type="dxa"/>
            </w:tcMar>
            <w:vAlign w:val="center"/>
            <w:shd w:fill="E8EEF5"/>
          </w:tcPr>
          <w:p>
            <w:pPr>
              <w:spacing w:before="0" w:after="0" w:line="252" w:lineRule="auto"/>
              <w:jc w:val="center"/>
            </w:pPr>
            <w:r>
              <w:rPr>
                <w:rFonts w:ascii="Calibri" w:hAnsi="Calibri"/>
                <w:b/>
                <w:i w:val="0"/>
                <w:color w:val="0B2545"/>
                <w:sz w:val="18"/>
              </w:rPr>
              <w:t>Définition</w:t>
            </w:r>
          </w:p>
        </w:tc>
      </w:tr>
      <w:tr>
        <w:tc>
          <w:tcPr>
            <w:tcW w:type="dxa" w:w="2100"/>
          </w:tcPr>
          <w:p>
            <w:pPr>
              <w:spacing w:before="0" w:after="0" w:line="264" w:lineRule="auto"/>
              <w:jc w:val="left"/>
            </w:pPr>
            <w:r>
              <w:rPr>
                <w:rFonts w:ascii="Calibri" w:hAnsi="Calibri"/>
                <w:b w:val="0"/>
                <w:i w:val="0"/>
                <w:color w:val="000000"/>
                <w:sz w:val="18"/>
              </w:rPr>
              <w:t>Backend</w:t>
            </w:r>
          </w:p>
        </w:tc>
        <w:tc>
          <w:tcPr>
            <w:tcW w:type="dxa" w:w="7260"/>
          </w:tcPr>
          <w:p>
            <w:pPr>
              <w:spacing w:before="0" w:after="0" w:line="264" w:lineRule="auto"/>
              <w:jc w:val="left"/>
            </w:pPr>
            <w:r>
              <w:rPr>
                <w:rFonts w:ascii="Calibri" w:hAnsi="Calibri"/>
                <w:b w:val="0"/>
                <w:i w:val="0"/>
                <w:color w:val="000000"/>
                <w:sz w:val="18"/>
              </w:rPr>
              <w:t>Implémentation numérique dense ou sparse du même calcul physique.</w:t>
            </w:r>
          </w:p>
        </w:tc>
      </w:tr>
      <w:tr>
        <w:tc>
          <w:tcPr>
            <w:tcW w:type="dxa" w:w="2100"/>
          </w:tcPr>
          <w:p>
            <w:pPr>
              <w:spacing w:before="0" w:after="0" w:line="264" w:lineRule="auto"/>
              <w:jc w:val="left"/>
            </w:pPr>
            <w:r>
              <w:rPr>
                <w:rFonts w:ascii="Calibri" w:hAnsi="Calibri"/>
                <w:b w:val="0"/>
                <w:i w:val="0"/>
                <w:color w:val="000000"/>
                <w:sz w:val="18"/>
              </w:rPr>
              <w:t>Bra / ket</w:t>
            </w:r>
          </w:p>
        </w:tc>
        <w:tc>
          <w:tcPr>
            <w:tcW w:type="dxa" w:w="7260"/>
          </w:tcPr>
          <w:p>
            <w:pPr>
              <w:spacing w:before="0" w:after="0" w:line="264" w:lineRule="auto"/>
              <w:jc w:val="left"/>
            </w:pPr>
            <w:r>
              <w:rPr>
                <w:rFonts w:ascii="Calibri" w:hAnsi="Calibri"/>
                <w:b w:val="0"/>
                <w:i w:val="0"/>
                <w:color w:val="000000"/>
                <w:sz w:val="18"/>
              </w:rPr>
              <w:t>Côtés droit et gauche de la matrice de densité dans un diagramme double face.</w:t>
            </w:r>
          </w:p>
        </w:tc>
      </w:tr>
      <w:tr>
        <w:tc>
          <w:tcPr>
            <w:tcW w:type="dxa" w:w="2100"/>
          </w:tcPr>
          <w:p>
            <w:pPr>
              <w:spacing w:before="0" w:after="0" w:line="264" w:lineRule="auto"/>
              <w:jc w:val="left"/>
            </w:pPr>
            <w:r>
              <w:rPr>
                <w:rFonts w:ascii="Calibri" w:hAnsi="Calibri"/>
                <w:b w:val="0"/>
                <w:i w:val="0"/>
                <w:color w:val="000000"/>
                <w:sz w:val="18"/>
              </w:rPr>
              <w:t>Cache</w:t>
            </w:r>
          </w:p>
        </w:tc>
        <w:tc>
          <w:tcPr>
            <w:tcW w:type="dxa" w:w="7260"/>
          </w:tcPr>
          <w:p>
            <w:pPr>
              <w:spacing w:before="0" w:after="0" w:line="264" w:lineRule="auto"/>
              <w:jc w:val="left"/>
            </w:pPr>
            <w:r>
              <w:rPr>
                <w:rFonts w:ascii="Calibri" w:hAnsi="Calibri"/>
                <w:b w:val="0"/>
                <w:i w:val="0"/>
                <w:color w:val="000000"/>
                <w:sz w:val="18"/>
              </w:rPr>
              <w:t>Mémoire d'un objet coûteux afin de le réutiliser.</w:t>
            </w:r>
          </w:p>
        </w:tc>
      </w:tr>
      <w:tr>
        <w:tc>
          <w:tcPr>
            <w:tcW w:type="dxa" w:w="2100"/>
          </w:tcPr>
          <w:p>
            <w:pPr>
              <w:spacing w:before="0" w:after="0" w:line="264" w:lineRule="auto"/>
              <w:jc w:val="left"/>
            </w:pPr>
            <w:r>
              <w:rPr>
                <w:rFonts w:ascii="Calibri" w:hAnsi="Calibri"/>
                <w:b w:val="0"/>
                <w:i w:val="0"/>
                <w:color w:val="000000"/>
                <w:sz w:val="18"/>
              </w:rPr>
              <w:t>GMRES</w:t>
            </w:r>
          </w:p>
        </w:tc>
        <w:tc>
          <w:tcPr>
            <w:tcW w:type="dxa" w:w="7260"/>
          </w:tcPr>
          <w:p>
            <w:pPr>
              <w:spacing w:before="0" w:after="0" w:line="264" w:lineRule="auto"/>
              <w:jc w:val="left"/>
            </w:pPr>
            <w:r>
              <w:rPr>
                <w:rFonts w:ascii="Calibri" w:hAnsi="Calibri"/>
                <w:b w:val="0"/>
                <w:i w:val="0"/>
                <w:color w:val="000000"/>
                <w:sz w:val="18"/>
              </w:rPr>
              <w:t>Solveur itératif pour un système linéaire sparse.</w:t>
            </w:r>
          </w:p>
        </w:tc>
      </w:tr>
      <w:tr>
        <w:tc>
          <w:tcPr>
            <w:tcW w:type="dxa" w:w="2100"/>
          </w:tcPr>
          <w:p>
            <w:pPr>
              <w:spacing w:before="0" w:after="0" w:line="264" w:lineRule="auto"/>
              <w:jc w:val="left"/>
            </w:pPr>
            <w:r>
              <w:rPr>
                <w:rFonts w:ascii="Calibri" w:hAnsi="Calibri"/>
                <w:b w:val="0"/>
                <w:i w:val="0"/>
                <w:color w:val="000000"/>
                <w:sz w:val="18"/>
              </w:rPr>
              <w:t>Liouvillien</w:t>
            </w:r>
          </w:p>
        </w:tc>
        <w:tc>
          <w:tcPr>
            <w:tcW w:type="dxa" w:w="7260"/>
          </w:tcPr>
          <w:p>
            <w:pPr>
              <w:spacing w:before="0" w:after="0" w:line="264" w:lineRule="auto"/>
              <w:jc w:val="left"/>
            </w:pPr>
            <w:r>
              <w:rPr>
                <w:rFonts w:ascii="Calibri" w:hAnsi="Calibri"/>
                <w:b w:val="0"/>
                <w:i w:val="0"/>
                <w:color w:val="000000"/>
                <w:sz w:val="18"/>
              </w:rPr>
              <w:t>Superopérateur gouvernant l'évolution de rho dans l'espace de Liouville.</w:t>
            </w:r>
          </w:p>
        </w:tc>
      </w:tr>
      <w:tr>
        <w:tc>
          <w:tcPr>
            <w:tcW w:type="dxa" w:w="2100"/>
          </w:tcPr>
          <w:p>
            <w:pPr>
              <w:spacing w:before="0" w:after="0" w:line="264" w:lineRule="auto"/>
              <w:jc w:val="left"/>
            </w:pPr>
            <w:r>
              <w:rPr>
                <w:rFonts w:ascii="Calibri" w:hAnsi="Calibri"/>
                <w:b w:val="0"/>
                <w:i w:val="0"/>
                <w:color w:val="000000"/>
                <w:sz w:val="18"/>
              </w:rPr>
              <w:t>Pathway</w:t>
            </w:r>
          </w:p>
        </w:tc>
        <w:tc>
          <w:tcPr>
            <w:tcW w:type="dxa" w:w="7260"/>
          </w:tcPr>
          <w:p>
            <w:pPr>
              <w:spacing w:before="0" w:after="0" w:line="264" w:lineRule="auto"/>
              <w:jc w:val="left"/>
            </w:pPr>
            <w:r>
              <w:rPr>
                <w:rFonts w:ascii="Calibri" w:hAnsi="Calibri"/>
                <w:b w:val="0"/>
                <w:i w:val="0"/>
                <w:color w:val="000000"/>
                <w:sz w:val="18"/>
              </w:rPr>
              <w:t>Séquence ordonnée d'interactions lumière-matière.</w:t>
            </w:r>
          </w:p>
        </w:tc>
      </w:tr>
      <w:tr>
        <w:tc>
          <w:tcPr>
            <w:tcW w:type="dxa" w:w="2100"/>
          </w:tcPr>
          <w:p>
            <w:pPr>
              <w:spacing w:before="0" w:after="0" w:line="264" w:lineRule="auto"/>
              <w:jc w:val="left"/>
            </w:pPr>
            <w:r>
              <w:rPr>
                <w:rFonts w:ascii="Calibri" w:hAnsi="Calibri"/>
                <w:b w:val="0"/>
                <w:i w:val="0"/>
                <w:color w:val="000000"/>
                <w:sz w:val="18"/>
              </w:rPr>
              <w:t>Résolvant</w:t>
            </w:r>
          </w:p>
        </w:tc>
        <w:tc>
          <w:tcPr>
            <w:tcW w:type="dxa" w:w="7260"/>
          </w:tcPr>
          <w:p>
            <w:pPr>
              <w:spacing w:before="0" w:after="0" w:line="264" w:lineRule="auto"/>
              <w:jc w:val="left"/>
            </w:pPr>
            <w:r>
              <w:rPr>
                <w:rFonts w:ascii="Calibri" w:hAnsi="Calibri"/>
                <w:b w:val="0"/>
                <w:i w:val="0"/>
                <w:color w:val="000000"/>
                <w:sz w:val="18"/>
              </w:rPr>
              <w:t>G(omega) = [(omega+i Eta)I-L]^-1.</w:t>
            </w:r>
          </w:p>
        </w:tc>
      </w:tr>
      <w:tr>
        <w:tc>
          <w:tcPr>
            <w:tcW w:type="dxa" w:w="2100"/>
          </w:tcPr>
          <w:p>
            <w:pPr>
              <w:spacing w:before="0" w:after="0" w:line="264" w:lineRule="auto"/>
              <w:jc w:val="left"/>
            </w:pPr>
            <w:r>
              <w:rPr>
                <w:rFonts w:ascii="Calibri" w:hAnsi="Calibri"/>
                <w:b w:val="0"/>
                <w:i w:val="0"/>
                <w:color w:val="000000"/>
                <w:sz w:val="18"/>
              </w:rPr>
              <w:t>Superopérateur</w:t>
            </w:r>
          </w:p>
        </w:tc>
        <w:tc>
          <w:tcPr>
            <w:tcW w:type="dxa" w:w="7260"/>
          </w:tcPr>
          <w:p>
            <w:pPr>
              <w:spacing w:before="0" w:after="0" w:line="264" w:lineRule="auto"/>
              <w:jc w:val="left"/>
            </w:pPr>
            <w:r>
              <w:rPr>
                <w:rFonts w:ascii="Calibri" w:hAnsi="Calibri"/>
                <w:b w:val="0"/>
                <w:i w:val="0"/>
                <w:color w:val="000000"/>
                <w:sz w:val="18"/>
              </w:rPr>
              <w:t>Opérateur agissant sur la version vectorisée d'une matrice.</w:t>
            </w:r>
          </w:p>
        </w:tc>
      </w:tr>
      <w:tr>
        <w:tc>
          <w:tcPr>
            <w:tcW w:type="dxa" w:w="2100"/>
          </w:tcPr>
          <w:p>
            <w:pPr>
              <w:spacing w:before="0" w:after="0" w:line="264" w:lineRule="auto"/>
              <w:jc w:val="left"/>
            </w:pPr>
            <w:r>
              <w:rPr>
                <w:rFonts w:ascii="Calibri" w:hAnsi="Calibri"/>
                <w:b w:val="0"/>
                <w:i w:val="0"/>
                <w:color w:val="000000"/>
                <w:sz w:val="18"/>
              </w:rPr>
              <w:t>Thread</w:t>
            </w:r>
          </w:p>
        </w:tc>
        <w:tc>
          <w:tcPr>
            <w:tcW w:type="dxa" w:w="7260"/>
          </w:tcPr>
          <w:p>
            <w:pPr>
              <w:spacing w:before="0" w:after="0" w:line="264" w:lineRule="auto"/>
              <w:jc w:val="left"/>
            </w:pPr>
            <w:r>
              <w:rPr>
                <w:rFonts w:ascii="Calibri" w:hAnsi="Calibri"/>
                <w:b w:val="0"/>
                <w:i w:val="0"/>
                <w:color w:val="000000"/>
                <w:sz w:val="18"/>
              </w:rPr>
              <w:t>Flux d'exécution partageant la mémoire du processus.</w:t>
            </w:r>
          </w:p>
        </w:tc>
      </w:tr>
      <w:tr>
        <w:tc>
          <w:tcPr>
            <w:tcW w:type="dxa" w:w="2100"/>
          </w:tcPr>
          <w:p>
            <w:pPr>
              <w:spacing w:before="0" w:after="0" w:line="264" w:lineRule="auto"/>
              <w:jc w:val="left"/>
            </w:pPr>
            <w:r>
              <w:rPr>
                <w:rFonts w:ascii="Calibri" w:hAnsi="Calibri"/>
                <w:b w:val="0"/>
                <w:i w:val="0"/>
                <w:color w:val="000000"/>
                <w:sz w:val="18"/>
              </w:rPr>
              <w:t>Worker</w:t>
            </w:r>
          </w:p>
        </w:tc>
        <w:tc>
          <w:tcPr>
            <w:tcW w:type="dxa" w:w="7260"/>
          </w:tcPr>
          <w:p>
            <w:pPr>
              <w:spacing w:before="0" w:after="0" w:line="264" w:lineRule="auto"/>
              <w:jc w:val="left"/>
            </w:pPr>
            <w:r>
              <w:rPr>
                <w:rFonts w:ascii="Calibri" w:hAnsi="Calibri"/>
                <w:b w:val="0"/>
                <w:i w:val="0"/>
                <w:color w:val="000000"/>
                <w:sz w:val="18"/>
              </w:rPr>
              <w:t>Unité d'exécution recevant un bloc de colonnes; peut être un thread ou un processus.</w:t>
            </w:r>
          </w:p>
        </w:tc>
      </w:tr>
    </w:tbl>
    <w:p>
      <w:pPr>
        <w:spacing w:before="0" w:after="40" w:line="300" w:lineRule="auto"/>
      </w:pPr>
    </w:p>
    <w:p>
      <w:pPr>
        <w:pStyle w:val="Heading1"/>
      </w:pPr>
      <w:r>
        <w:t>Conclusion</w:t>
      </w:r>
    </w:p>
    <w:p>
      <w:pPr>
        <w:spacing w:before="0" w:after="120" w:line="300" w:lineRule="auto"/>
      </w:pPr>
      <w:r>
        <w:rPr>
          <w:rFonts w:ascii="Calibri" w:hAnsi="Calibri"/>
          <w:b w:val="0"/>
          <w:i w:val="0"/>
          <w:color w:val="000000"/>
          <w:sz w:val="22"/>
        </w:rPr>
        <w:t>La structure centrale de V6 est plus simple qu'elle n'en a l'air : un pathway est une séquence de trois interactions; le solver applique interaction, propagation, interaction, propagation, interaction, propagation, puis détecte. Les backends dense/sparse changent la représentation numérique. Les workers changent seulement la manière de parcourir la grille. UFSS change la liste des séquences autorisées. rho(0) change le point de départ. Le Plotter ne fait qu'afficher les matrices finales.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E"/>
          </w:tcPr>
          <w:p>
            <w:pPr>
              <w:spacing w:before="0" w:after="60" w:line="264" w:lineRule="auto"/>
            </w:pPr>
            <w:r>
              <w:rPr>
                <w:rFonts w:ascii="Calibri" w:hAnsi="Calibri"/>
                <w:b/>
                <w:i w:val="0"/>
                <w:color w:val="2F6B4F"/>
                <w:sz w:val="21"/>
              </w:rPr>
              <w:t>Ordre conseillé pour maîtriser le code</w:t>
            </w:r>
          </w:p>
          <w:p>
            <w:pPr>
              <w:spacing w:before="0" w:after="0" w:line="288" w:lineRule="auto"/>
            </w:pPr>
            <w:r>
              <w:rPr>
                <w:rFonts w:ascii="Calibri" w:hAnsi="Calibri"/>
                <w:b w:val="0"/>
                <w:i w:val="0"/>
                <w:color w:val="000000"/>
                <w:sz w:val="20"/>
              </w:rPr>
              <w:t>1) Lire FrequencyPathway et calc_pathway. 2) Lire feed_model et la construction du backend dense. 3) Lire generate_2D_spectra en mode serial. 4) Seulement ensuite lire _run_w3_blocks et les workers.</w:t>
            </w:r>
          </w:p>
        </w:tc>
      </w:tr>
    </w:tbl>
    <w:p>
      <w:pPr>
        <w:spacing w:before="0" w:after="40" w:line="300"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i w:val="0"/>
        <w:color w:val="666666"/>
        <w:sz w:val="18"/>
      </w:rPr>
      <w:t xml:space="preserve">Page </w:t>
    </w:r>
    <w:r>
      <w:rPr>
        <w:rFonts w:ascii="Calibri" w:hAnsi="Calibri"/>
        <w:b w:val="0"/>
        <w:i w:val="0"/>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b w:val="0"/>
        <w:i w:val="0"/>
        <w:color w:val="666666"/>
        <w:sz w:val="17"/>
      </w:rPr>
      <w:t>LiouvilleSpectroscopyV6 | Guide d'architecture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color w:val="2E74B5"/>
      </w:rPr>
    </w:lvl>
  </w:abstract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color w:val="2E74B5"/>
      </w:rPr>
    </w:lvl>
  </w:abstractNum>
  <w:num w:numId="10">
    <w:abstractNumId w:val="9"/>
  </w:num>
  <w:num w:numId="11">
    <w:abstractNumId w:val="10"/>
    <w:lvlOverride w:ilvl="0">
      <w:startOverride w:val="1"/>
    </w:lvlOverride>
  </w:num>
  <w:num w:numId="12">
    <w:abstractNumId w:val="10"/>
    <w:lvlOverride w:ilvl="0">
      <w:startOverride w:val="2"/>
    </w:lvlOverride>
  </w:num>
  <w:num w:numId="13">
    <w:abstractNumId w:val="10"/>
    <w:lvlOverride w:ilvl="0">
      <w:startOverride w:val="3"/>
    </w:lvlOverride>
  </w:num>
  <w:num w:numId="14">
    <w:abstractNumId w:val="10"/>
    <w:lvlOverride w:ilvl="0">
      <w:startOverride w:val="1"/>
    </w:lvlOverride>
  </w:num>
  <w:num w:numId="15">
    <w:abstractNumId w:val="10"/>
    <w:lvlOverride w:ilvl="0">
      <w:startOverride w:val="2"/>
    </w:lvlOverride>
  </w:num>
  <w:num w:numId="16">
    <w:abstractNumId w:val="10"/>
    <w:lvlOverride w:ilvl="0">
      <w:startOverride w:val="3"/>
    </w:lvlOverride>
  </w:num>
  <w:num w:numId="17">
    <w:abstractNumId w:val="10"/>
    <w:lvlOverride w:ilvl="0">
      <w:startOverride w:val="4"/>
    </w:lvlOverride>
  </w:num>
  <w:num w:numId="18">
    <w:abstractNumId w:val="10"/>
    <w:lvlOverride w:ilvl="0">
      <w:startOverride w:val="5"/>
    </w:lvlOverride>
  </w:num>
  <w:num w:numId="19">
    <w:abstractNumId w:val="10"/>
    <w:lvlOverride w:ilvl="0">
      <w:startOverride w:val="6"/>
    </w:lvlOverride>
  </w:num>
  <w:num w:numId="20">
    <w:abstractNumId w:val="10"/>
    <w:lvlOverride w:ilvl="0">
      <w:startOverride w:val="7"/>
    </w:lvlOverride>
  </w:num>
  <w:num w:numId="21">
    <w:abstractNumId w:val="10"/>
    <w:lvlOverride w:ilvl="0">
      <w:startOverride w:val="1"/>
    </w:lvlOverride>
  </w:num>
  <w:num w:numId="22">
    <w:abstractNumId w:val="10"/>
    <w:lvlOverride w:ilvl="0">
      <w:startOverride w:val="2"/>
    </w:lvlOverride>
  </w:num>
  <w:num w:numId="23">
    <w:abstractNumId w:val="10"/>
    <w:lvlOverride w:ilvl="0">
      <w:startOverride w:val="3"/>
    </w:lvlOverride>
  </w:num>
  <w:num w:numId="24">
    <w:abstractNumId w:val="10"/>
    <w:lvlOverride w:ilvl="0">
      <w:startOverride w:val="4"/>
    </w:lvlOverride>
  </w:num>
  <w:num w:numId="25">
    <w:abstractNumId w:val="10"/>
    <w:lvlOverride w:ilvl="0">
      <w:startOverride w:val="5"/>
    </w:lvlOverride>
  </w:num>
  <w:num w:numId="26">
    <w:abstractNumId w:val="10"/>
    <w:lvlOverride w:ilvl="0">
      <w:startOverride w:val="6"/>
    </w:lvlOverride>
  </w:num>
  <w:num w:numId="27">
    <w:abstractNumId w:val="10"/>
    <w:lvlOverride w:ilvl="0">
      <w:startOverride w:val="1"/>
    </w:lvlOverride>
  </w:num>
  <w:num w:numId="28">
    <w:abstractNumId w:val="10"/>
    <w:lvlOverride w:ilvl="0">
      <w:startOverride w:val="2"/>
    </w:lvlOverride>
  </w:num>
  <w:num w:numId="29">
    <w:abstractNumId w:val="10"/>
    <w:lvlOverride w:ilvl="0">
      <w:startOverride w:val="3"/>
    </w:lvlOverride>
  </w:num>
  <w:num w:numId="30">
    <w:abstractNumId w:val="10"/>
    <w:lvlOverride w:ilvl="0">
      <w:startOverride w:val="4"/>
    </w:lvlOverride>
  </w:num>
  <w:num w:numId="31">
    <w:abstractNumId w:val="10"/>
    <w:lvlOverride w:ilvl="0">
      <w:startOverride w:val="5"/>
    </w:lvlOverride>
  </w:num>
  <w:num w:numId="32">
    <w:abstractNumId w:val="10"/>
    <w:lvlOverride w:ilvl="0">
      <w:startOverride w:val="6"/>
    </w:lvlOverride>
  </w:num>
  <w:num w:numId="33">
    <w:abstractNumId w:val="10"/>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de LiouvilleSpectroscopyV6</dc:title>
  <dc:subject>Structure complète de la classe et explication du parallélisme</dc:subject>
  <dc:creator>Mathieu Desmarais</dc:creator>
  <cp:keywords/>
  <dc:description>Documentation générée à partir de LiouvilleSpectroscopyV6.py</dc:description>
  <cp:lastModifiedBy/>
  <cp:revision>1</cp:revision>
  <dcterms:created xsi:type="dcterms:W3CDTF">2013-12-23T23:15:00Z</dcterms:created>
  <dcterms:modified xsi:type="dcterms:W3CDTF">2013-12-23T23:15:00Z</dcterms:modified>
  <cp:category/>
</cp:coreProperties>
</file>