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ОТЧЁТ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о возможном графическом улучшении приложения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«МонтажПро» (Neiro) — веб-интерфейс обработки отчётов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Дата: 16.08.2026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i w:val="0"/>
          <w:sz w:val="28"/>
        </w:rPr>
        <w:t>1. Текущее состояние интерфейса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Сейчас приложение имеет светлую тему (белый / светло-серый фон, синий акцент #2F6FED), шрифты Manrope и Source Sans 3, шапку с логотипом и навигацией (Отчёт, Прайс, Алиасы работ, Настройки, Лог Excel), степпер из 4 шагов, зону загрузки файла, предпросмотр расчёта в таблице и нижний блок проблемных работ. Визуально интерфейс уже близок к рабочему макету, но остаётся потенциал для повышения читаемости, плотности данных и удобства на длинных прайсах и отчётах.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Сильные стороны: единая цветовая система на CSS-переменных; понятная иерархия «шапка → степпер → две колонки → низ»; подсветка проблемных строк; анимация переключения вкладок. Слабые места: степпер слабо связан с реальным прогрессом; таблицы прайса и предпросмотра без виртуализации/пагинации; мало визуальной обратной связи при долгой работе ИИ; на узких экранах сетка сжимается в одну колонку без отдельной мобильной компоновки.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i w:val="0"/>
          <w:sz w:val="28"/>
        </w:rPr>
        <w:t>2. Цели графических улучшений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Сократить время на проверку расчёта и правку прайса; сделать статус ИИ и этапы очевидными без чтения лога; сохранить фирменный синий стиль МонтажПро без ухода в «типичный AI-дизайн» (фиолетовые градиенты, лишние карточки, тёмная тема ради тёмной темы); улучшить работу на ноутбуках 1366×768 и планшетах.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i w:val="0"/>
          <w:sz w:val="28"/>
        </w:rPr>
        <w:t>3. Предложения по улучшению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i w:val="0"/>
          <w:sz w:val="24"/>
        </w:rPr>
        <w:t>1. Усилить брендинг и шапку</w:t>
      </w:r>
    </w:p>
    <w:p>
      <w:pPr>
        <w:spacing w:after="4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Добавить тонкую полоску статуса под шапкой: активный месяц Excel, модель ИИ (qwen2.5:7b), число позиций прайса. Логотип сделать кликабельным «домой» с лёгким hover. На узких экранах — компактное меню (бургер) вместо переноса пунктов навигации в несколько рядов.</w:t>
      </w:r>
    </w:p>
    <w:p>
      <w:pPr>
        <w:spacing w:after="40"/>
      </w:pPr>
      <w:r>
        <w:rPr>
          <w:rFonts w:ascii="Times New Roman" w:hAnsi="Times New Roman" w:eastAsia="Times New Roman"/>
          <w:b w:val="0"/>
          <w:i/>
          <w:sz w:val="22"/>
        </w:rPr>
        <w:t>Ожидаемый эффект: Сразу видно контекст работы; меньше переходов в «Настройки».</w:t>
      </w:r>
    </w:p>
    <w:p>
      <w:pPr>
        <w:spacing w:after="120"/>
      </w:pPr>
      <w:r>
        <w:rPr>
          <w:rFonts w:ascii="Times New Roman" w:hAnsi="Times New Roman" w:eastAsia="Times New Roman"/>
          <w:b w:val="0"/>
          <w:i/>
          <w:sz w:val="22"/>
        </w:rPr>
        <w:t>Трудоёмкость: 4–6 часов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i w:val="0"/>
          <w:sz w:val="24"/>
        </w:rPr>
        <w:t>2. Сделать степпер «живым»</w:t>
      </w:r>
    </w:p>
    <w:p>
      <w:pPr>
        <w:spacing w:after="4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Сейчас шаги подсвечиваются, но слабо отражают факт готовности. Предлагается: зелёная галочка на завершённых шагах; шаг 2 мигает/пульсирует во время разбора ИИ; шаг 3 активируется только после появления таблицы; шаг 4 — после успешной записи в Excel. Между кружками — прогресс-линия с заполнением.</w:t>
      </w:r>
    </w:p>
    <w:p>
      <w:pPr>
        <w:spacing w:after="40"/>
      </w:pPr>
      <w:r>
        <w:rPr>
          <w:rFonts w:ascii="Times New Roman" w:hAnsi="Times New Roman" w:eastAsia="Times New Roman"/>
          <w:b w:val="0"/>
          <w:i/>
          <w:sz w:val="22"/>
        </w:rPr>
        <w:t>Ожидаемый эффект: Пользователь понимает, на каком этапе зависла обработка.</w:t>
      </w:r>
    </w:p>
    <w:p>
      <w:pPr>
        <w:spacing w:after="120"/>
      </w:pPr>
      <w:r>
        <w:rPr>
          <w:rFonts w:ascii="Times New Roman" w:hAnsi="Times New Roman" w:eastAsia="Times New Roman"/>
          <w:b w:val="0"/>
          <w:i/>
          <w:sz w:val="22"/>
        </w:rPr>
        <w:t>Трудоёмкость: 3–5 часов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i w:val="0"/>
          <w:sz w:val="24"/>
        </w:rPr>
        <w:t>3. Переработать зону загрузки и ввода</w:t>
      </w:r>
    </w:p>
    <w:p>
      <w:pPr>
        <w:spacing w:after="4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Dropzone: состояние «файл выбран» с именем и размером; drag-over уже есть — добавить success/error контур. Текстовое поле отчёта — счётчик строк/символов и кнопка «Очистить». Блок доп. инструкции свернуть в &lt;details&gt;, чтобы не занимал место у оператора, который его редко использует.</w:t>
      </w:r>
    </w:p>
    <w:p>
      <w:pPr>
        <w:spacing w:after="40"/>
      </w:pPr>
      <w:r>
        <w:rPr>
          <w:rFonts w:ascii="Times New Roman" w:hAnsi="Times New Roman" w:eastAsia="Times New Roman"/>
          <w:b w:val="0"/>
          <w:i/>
          <w:sz w:val="22"/>
        </w:rPr>
        <w:t>Ожидаемый эффект: Чище первый экран; меньше визуального шума.</w:t>
      </w:r>
    </w:p>
    <w:p>
      <w:pPr>
        <w:spacing w:after="120"/>
      </w:pPr>
      <w:r>
        <w:rPr>
          <w:rFonts w:ascii="Times New Roman" w:hAnsi="Times New Roman" w:eastAsia="Times New Roman"/>
          <w:b w:val="0"/>
          <w:i/>
          <w:sz w:val="22"/>
        </w:rPr>
        <w:t>Трудоёмкость: 3–4 часа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i w:val="0"/>
          <w:sz w:val="24"/>
        </w:rPr>
        <w:t>4. Улучшить предпросмотр расчёта</w:t>
      </w:r>
    </w:p>
    <w:p>
      <w:pPr>
        <w:spacing w:after="4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Закрепить шапку таблицы (sticky thead уже частично есть — усилить тень). Итог grand_total вынести крупной цифрой над таблицей. Строки unmatched — иконка «!» + tooltip «нет в прайсе». Группировка по ФИО (липкая первая колонка или подзаголовок-разделитель бригады). Кнопки «Формировать / Отмена» закрепить внизу карточки (sticky footer).</w:t>
      </w:r>
    </w:p>
    <w:p>
      <w:pPr>
        <w:spacing w:after="40"/>
      </w:pPr>
      <w:r>
        <w:rPr>
          <w:rFonts w:ascii="Times New Roman" w:hAnsi="Times New Roman" w:eastAsia="Times New Roman"/>
          <w:b w:val="0"/>
          <w:i/>
          <w:sz w:val="22"/>
        </w:rPr>
        <w:t>Ожидаемый эффект: Быстрее найти проблемные работы и принять решение о записи в Excel.</w:t>
      </w:r>
    </w:p>
    <w:p>
      <w:pPr>
        <w:spacing w:after="120"/>
      </w:pPr>
      <w:r>
        <w:rPr>
          <w:rFonts w:ascii="Times New Roman" w:hAnsi="Times New Roman" w:eastAsia="Times New Roman"/>
          <w:b w:val="0"/>
          <w:i/>
          <w:sz w:val="22"/>
        </w:rPr>
        <w:t>Трудоёмкость: 6–8 часов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i w:val="0"/>
          <w:sz w:val="24"/>
        </w:rPr>
        <w:t>5. Таблицы Прайс и Алиасы: плотность и удобство</w:t>
      </w:r>
    </w:p>
    <w:p>
      <w:pPr>
        <w:spacing w:after="4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Чередование строк (zebra); подсветка несохранённых изменений; бейдж «не сохранено» у кнопки. Для прайса (~287 строк): пагинация или виртуальный скролл, фильтр по типу услуги, сортировка по цене/имени. В алиасах — чипы синонимов вместо одного textarea через «;».</w:t>
      </w:r>
    </w:p>
    <w:p>
      <w:pPr>
        <w:spacing w:after="40"/>
      </w:pPr>
      <w:r>
        <w:rPr>
          <w:rFonts w:ascii="Times New Roman" w:hAnsi="Times New Roman" w:eastAsia="Times New Roman"/>
          <w:b w:val="0"/>
          <w:i/>
          <w:sz w:val="22"/>
        </w:rPr>
        <w:t>Ожидаемый эффект: Редактирование длинных списков станет практичным, а не «прокруткой на весь экран».</w:t>
      </w:r>
    </w:p>
    <w:p>
      <w:pPr>
        <w:spacing w:after="120"/>
      </w:pPr>
      <w:r>
        <w:rPr>
          <w:rFonts w:ascii="Times New Roman" w:hAnsi="Times New Roman" w:eastAsia="Times New Roman"/>
          <w:b w:val="0"/>
          <w:i/>
          <w:sz w:val="22"/>
        </w:rPr>
        <w:t>Трудоёмкость: 8–12 часов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i w:val="0"/>
          <w:sz w:val="24"/>
        </w:rPr>
        <w:t>6. Обратная связь при работе ИИ</w:t>
      </w:r>
    </w:p>
    <w:p>
      <w:pPr>
        <w:spacing w:after="4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Полноэкранный/карточечный оверлей «Идёт разбор…» с таймером (уже есть в статусе — вынести заметнее), этапами (отправка → ожидание модели → расчёт → готово) и кнопкой «Отмена» (если появится abort на бэкенде). Toast-уведомления об успехе записи в Excel и об ошибках вместо только текстового лога внизу.</w:t>
      </w:r>
    </w:p>
    <w:p>
      <w:pPr>
        <w:spacing w:after="40"/>
      </w:pPr>
      <w:r>
        <w:rPr>
          <w:rFonts w:ascii="Times New Roman" w:hAnsi="Times New Roman" w:eastAsia="Times New Roman"/>
          <w:b w:val="0"/>
          <w:i/>
          <w:sz w:val="22"/>
        </w:rPr>
        <w:t>Ожидаемый эффект: Снижение ощущения «зависания» на 1–3 минутах ответа Ollama.</w:t>
      </w:r>
    </w:p>
    <w:p>
      <w:pPr>
        <w:spacing w:after="120"/>
      </w:pPr>
      <w:r>
        <w:rPr>
          <w:rFonts w:ascii="Times New Roman" w:hAnsi="Times New Roman" w:eastAsia="Times New Roman"/>
          <w:b w:val="0"/>
          <w:i/>
          <w:sz w:val="22"/>
        </w:rPr>
        <w:t>Трудоёмкость: 5–7 часов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i w:val="0"/>
          <w:sz w:val="24"/>
        </w:rPr>
        <w:t>7. Блок проблемных работ и истории</w:t>
      </w:r>
    </w:p>
    <w:p>
      <w:pPr>
        <w:spacing w:after="4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Карточки проблем: название, объём, кнопка «В прайс» / «В алиасы» с модальным окном ввода цены. История Excel — временная шкала с цветовыми метками (успех / дубликат / с unmatched). Пустые состояния — иллюстрация + короткий текст «Пока нет проблем — все работы найдены в прайсе».</w:t>
      </w:r>
    </w:p>
    <w:p>
      <w:pPr>
        <w:spacing w:after="40"/>
      </w:pPr>
      <w:r>
        <w:rPr>
          <w:rFonts w:ascii="Times New Roman" w:hAnsi="Times New Roman" w:eastAsia="Times New Roman"/>
          <w:b w:val="0"/>
          <w:i/>
          <w:sz w:val="22"/>
        </w:rPr>
        <w:t>Ожидаемый эффект: Замыкание цикла «нашёл ошибку → исправил словарь» без ухода с экрана Отчёта.</w:t>
      </w:r>
    </w:p>
    <w:p>
      <w:pPr>
        <w:spacing w:after="120"/>
      </w:pPr>
      <w:r>
        <w:rPr>
          <w:rFonts w:ascii="Times New Roman" w:hAnsi="Times New Roman" w:eastAsia="Times New Roman"/>
          <w:b w:val="0"/>
          <w:i/>
          <w:sz w:val="22"/>
        </w:rPr>
        <w:t>Трудоёмкость: 6–8 часов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i w:val="0"/>
          <w:sz w:val="24"/>
        </w:rPr>
        <w:t>8. Адаптив и доступность</w:t>
      </w:r>
    </w:p>
    <w:p>
      <w:pPr>
        <w:spacing w:after="4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Отдельные брейкпоинты 1280 / 980 / 640: на планшете предпросмотр под вводом, на телефоне — вкладки «Ввод | Расчёт». Контраст текста muted к фону довести до WCAG AA. Фокус-кольца на кнопках и dropzone. Уважение prefers-reduced-motion (отключать fadeIn/spinner-анимации).</w:t>
      </w:r>
    </w:p>
    <w:p>
      <w:pPr>
        <w:spacing w:after="40"/>
      </w:pPr>
      <w:r>
        <w:rPr>
          <w:rFonts w:ascii="Times New Roman" w:hAnsi="Times New Roman" w:eastAsia="Times New Roman"/>
          <w:b w:val="0"/>
          <w:i/>
          <w:sz w:val="22"/>
        </w:rPr>
        <w:t>Ожидаемый эффект: Комфортная работа на ноутбуках и соответствие базовой a11y.</w:t>
      </w:r>
    </w:p>
    <w:p>
      <w:pPr>
        <w:spacing w:after="120"/>
      </w:pPr>
      <w:r>
        <w:rPr>
          <w:rFonts w:ascii="Times New Roman" w:hAnsi="Times New Roman" w:eastAsia="Times New Roman"/>
          <w:b w:val="0"/>
          <w:i/>
          <w:sz w:val="22"/>
        </w:rPr>
        <w:t>Трудоёмкость: 5–7 часов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i w:val="0"/>
          <w:sz w:val="24"/>
        </w:rPr>
        <w:t>9. Микроанимации и полировка</w:t>
      </w:r>
    </w:p>
    <w:p>
      <w:pPr>
        <w:spacing w:after="4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2–3 целенаправленных движения: появление строк таблицы после расчёта (stagger), плавное заполнение степпера, лёгкий scale у primary-кнопки на hover. Без лишних glow и многослойных теней — в рамках текущего синего стиля.</w:t>
      </w:r>
    </w:p>
    <w:p>
      <w:pPr>
        <w:spacing w:after="40"/>
      </w:pPr>
      <w:r>
        <w:rPr>
          <w:rFonts w:ascii="Times New Roman" w:hAnsi="Times New Roman" w:eastAsia="Times New Roman"/>
          <w:b w:val="0"/>
          <w:i/>
          <w:sz w:val="22"/>
        </w:rPr>
        <w:t>Ожидаемый эффект: Интерфейс выглядит «живым», но остаётся деловым.</w:t>
      </w:r>
    </w:p>
    <w:p>
      <w:pPr>
        <w:spacing w:after="120"/>
      </w:pPr>
      <w:r>
        <w:rPr>
          <w:rFonts w:ascii="Times New Roman" w:hAnsi="Times New Roman" w:eastAsia="Times New Roman"/>
          <w:b w:val="0"/>
          <w:i/>
          <w:sz w:val="22"/>
        </w:rPr>
        <w:t>Трудоёмкость: 3–4 часа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i w:val="0"/>
          <w:sz w:val="24"/>
        </w:rPr>
        <w:t>10. Опционально: печатная / экспортная вёрстка предпросмотра</w:t>
      </w:r>
    </w:p>
    <w:p>
      <w:pPr>
        <w:spacing w:after="4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Кнопка «Печать расчёта» или «PDF предпросмотра» с упрощённой таблицей без кнопок UI — для согласования с мастером/бухгалтерией до записи в Excel.</w:t>
      </w:r>
    </w:p>
    <w:p>
      <w:pPr>
        <w:spacing w:after="40"/>
      </w:pPr>
      <w:r>
        <w:rPr>
          <w:rFonts w:ascii="Times New Roman" w:hAnsi="Times New Roman" w:eastAsia="Times New Roman"/>
          <w:b w:val="0"/>
          <w:i/>
          <w:sz w:val="22"/>
        </w:rPr>
        <w:t>Ожидаемый эффект: Документооборот без обязательного Excel на каждом просмотре.</w:t>
      </w:r>
    </w:p>
    <w:p>
      <w:pPr>
        <w:spacing w:after="120"/>
      </w:pPr>
      <w:r>
        <w:rPr>
          <w:rFonts w:ascii="Times New Roman" w:hAnsi="Times New Roman" w:eastAsia="Times New Roman"/>
          <w:b w:val="0"/>
          <w:i/>
          <w:sz w:val="22"/>
        </w:rPr>
        <w:t>Трудоёмкость: 4–6 часов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i w:val="0"/>
          <w:sz w:val="28"/>
        </w:rPr>
        <w:t>4. Приоритеты внедрения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1F54C4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Приоритет</w:t>
            </w:r>
          </w:p>
        </w:tc>
        <w:tc>
          <w:tcPr>
            <w:tcW w:type="dxa" w:w="3286"/>
            <w:shd w:fill="1F54C4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Что делать</w:t>
            </w:r>
          </w:p>
        </w:tc>
        <w:tc>
          <w:tcPr>
            <w:tcW w:type="dxa" w:w="3286"/>
            <w:shd w:fill="1F54C4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Оценка</w:t>
            </w:r>
          </w:p>
        </w:tc>
      </w:tr>
      <w:tr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P0 — быстро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Живой степпер + заметный статус ИИ + toast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8–12 ч</w:t>
            </w:r>
          </w:p>
        </w:tc>
      </w:tr>
      <w:tr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P1 — удобство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Предпросмотр: итог, sticky, группировка по ФИО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6–8 ч</w:t>
            </w:r>
          </w:p>
        </w:tc>
      </w:tr>
      <w:tr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P1 — данные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Прайс: zebra, «не сохранено», поиск/фильтр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6–8 ч</w:t>
            </w:r>
          </w:p>
        </w:tc>
      </w:tr>
      <w:tr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P2 — масштаб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Пагинация/вирт. скролл, чипы алиасов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8–12 ч</w:t>
            </w:r>
          </w:p>
        </w:tc>
      </w:tr>
      <w:tr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P2 — охват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Адаптив 980/640, a11y, empty states</w:t>
            </w:r>
          </w:p>
        </w:tc>
        <w:tc>
          <w:tcPr>
            <w:tcW w:type="dxa" w:w="328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8–12 ч</w:t>
            </w:r>
          </w:p>
        </w:tc>
      </w:tr>
    </w:tbl>
    <w:p>
      <w:pPr>
        <w:spacing w:before="280" w:after="120"/>
      </w:pPr>
      <w:r>
        <w:rPr>
          <w:rFonts w:ascii="Times New Roman" w:hAnsi="Times New Roman" w:eastAsia="Times New Roman"/>
          <w:b/>
          <w:i w:val="0"/>
          <w:sz w:val="28"/>
        </w:rPr>
        <w:t>5. Что сознательно не предлагается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Полный переход на тёмную тему как основной режим; смена бренда на фиолетовые градиенты; переписывание UI на React/Vue без необходимости — текущий vanilla HTML/CSS/JS достаточен для локального инструмента. Карточки ради карточек в hero-зоне отчёта также не нужны: экран уже функциональный.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i w:val="0"/>
          <w:sz w:val="28"/>
        </w:rPr>
        <w:t>6. Ожидаемый совокупный эффект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После внедрения P0–P1 оператор быстрее понимает этап обработки, реже теряет контекст активного месяца и модели, проще находит проблемные строки и безопаснее правит прайс. Оценка суммарных трудозатрат на рекомендуемый минимум (P0+P1): порядка 20–28 часов разработки без смены стека.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i w:val="0"/>
          <w:sz w:val="28"/>
        </w:rPr>
        <w:t>7. Итог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Графический потенциал «МонтажПро» лежит не в смене стиля «с нуля», а в усилении обратной связи, таблиц и статуса длительных операций при сохранении текущей сине-белой визуальной идентичности. Рекомендуется начать с живого степпера, статуса ИИ и доработки предпросмотра — максимальный эффект при умеренных затратах.</w:t>
      </w:r>
    </w:p>
    <w:p>
      <w:pPr>
        <w:spacing w:before="440"/>
      </w:pPr>
      <w:r>
        <w:rPr>
          <w:rFonts w:ascii="Times New Roman" w:hAnsi="Times New Roman" w:eastAsia="Times New Roman"/>
          <w:b w:val="0"/>
          <w:i w:val="0"/>
          <w:sz w:val="24"/>
        </w:rPr>
        <w:t>Ответственный исполнитель: ________________________ / ________________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