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Titolo DOCX di prova</w:t>
      </w:r>
    </w:p>
    <w:p>
      <w:r>
        <w:t>Questo è il primo paragrafo del documento DOCX usato come fixture per i test del convertitore intake.</w:t>
      </w:r>
    </w:p>
    <w:p>
      <w:pPr>
        <w:pStyle w:val="Heading2"/>
      </w:pPr>
      <w:r>
        <w:t>Sezione seconda</w:t>
      </w:r>
    </w:p>
    <w:p>
      <w:r>
        <w:t>Questo è il secondo paragrafo, sotto una sezione di livello 2, con qualche accento italiano: città, perché, università.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