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i-disclosure"/>
    <w:p>
      <w:pPr>
        <w:pStyle w:val="Heading1"/>
      </w:pPr>
      <w:r>
        <w:t xml:space="preserve">AI DISCLOSURE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Institutional Observability Under Scaled AI Governance: Deployment-Scale Capacity Degradation in Human Oversight Pipelines</w:t>
      </w:r>
    </w:p>
    <w:p>
      <w:pPr>
        <w:pStyle w:val="BodyText"/>
      </w:pPr>
      <w:r>
        <w:rPr>
          <w:b/>
          <w:bCs/>
        </w:rPr>
        <w:t xml:space="preserve">Journal:</w:t>
      </w:r>
      <w:r>
        <w:t xml:space="preserve"> </w:t>
      </w:r>
      <w:r>
        <w:t xml:space="preserve">Technology in Society (Elsevier)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June 3, 2026</w:t>
      </w:r>
    </w:p>
    <w:p>
      <w:r>
        <w:pict>
          <v:rect style="width:0;height:1.5pt" o:hralign="center" o:hrstd="t" o:hr="t"/>
        </w:pict>
      </w:r>
    </w:p>
    <w:bookmarkStart w:id="9" w:name="X071796dd6bc546c91e96cca1cf5ff96599de61f"/>
    <w:p>
      <w:pPr>
        <w:pStyle w:val="Heading2"/>
      </w:pPr>
      <w:r>
        <w:t xml:space="preserve">Declaration of Generative AI and AI-assisted technologies in the writing process</w:t>
      </w:r>
    </w:p>
    <w:p>
      <w:pPr>
        <w:pStyle w:val="FirstParagraph"/>
      </w:pPr>
      <w:r>
        <w:rPr>
          <w:i/>
          <w:iCs/>
        </w:rPr>
        <w:t xml:space="preserve">This statement appears in the manuscript immediately above the references, per Elsevier policy.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During the preparation of this work, the author used</w:t>
      </w:r>
      <w:r>
        <w:t xml:space="preserve"> </w:t>
      </w:r>
      <w:r>
        <w:rPr>
          <w:b/>
          <w:bCs/>
        </w:rPr>
        <w:t xml:space="preserve">Windsurf (Cascade AI)</w:t>
      </w:r>
      <w:r>
        <w:t xml:space="preserve"> </w:t>
      </w:r>
      <w:r>
        <w:t xml:space="preserve">in order to assist with: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Manuscript formatting and compliance checking</w:t>
      </w:r>
      <w:r>
        <w:t xml:space="preserve"> </w:t>
      </w:r>
      <w:r>
        <w:t xml:space="preserve">— ensuring the manuscript meets Technology in Society and Elsevier submission requirements, including structured abstract formatting, reference style conversion, and declaration preparation.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 package preparation</w:t>
      </w:r>
      <w:r>
        <w:t xml:space="preserve"> </w:t>
      </w:r>
      <w:r>
        <w:t xml:space="preserve">— generating cover letter, highlights, author declarations, ethics statement, data availability statement, and other required submission artifacts.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 editing and clarity review</w:t>
      </w:r>
      <w:r>
        <w:t xml:space="preserve"> </w:t>
      </w:r>
      <w:r>
        <w:t xml:space="preserve">— improving readability and consistency of the manuscript text.</w:t>
      </w:r>
    </w:p>
    <w:p>
      <w:pPr>
        <w:pStyle w:val="FirstParagraph"/>
      </w:pPr>
      <w:r>
        <w:t xml:space="preserve">After using this tool, the author reviewed and edited the content as needed and takes full responsibility for the content of the publication.</w:t>
      </w:r>
    </w:p>
    <w:bookmarkEnd w:id="9"/>
    <w:bookmarkStart w:id="10" w:name="core-intellectual-contributions"/>
    <w:p>
      <w:pPr>
        <w:pStyle w:val="Heading2"/>
      </w:pPr>
      <w:r>
        <w:t xml:space="preserve">Core Intellectual Contributions</w:t>
      </w:r>
    </w:p>
    <w:p>
      <w:pPr>
        <w:pStyle w:val="FirstParagraph"/>
      </w:pPr>
      <w:r>
        <w:t xml:space="preserve">The following elements were developed independently by the author without AI assistance:</w:t>
      </w:r>
    </w:p>
    <w:p>
      <w:pPr>
        <w:pStyle w:val="Compact"/>
        <w:numPr>
          <w:ilvl w:val="0"/>
          <w:numId w:val="1002"/>
        </w:numPr>
      </w:pPr>
      <w:r>
        <w:t xml:space="preserve">The state-space model of oversight saturation dynamics</w:t>
      </w:r>
    </w:p>
    <w:p>
      <w:pPr>
        <w:pStyle w:val="Compact"/>
        <w:numPr>
          <w:ilvl w:val="0"/>
          <w:numId w:val="1002"/>
        </w:numPr>
      </w:pPr>
      <w:r>
        <w:t xml:space="preserve">The SEDI (State-Estimation Degradation Index) formulation</w:t>
      </w:r>
    </w:p>
    <w:p>
      <w:pPr>
        <w:pStyle w:val="Compact"/>
        <w:numPr>
          <w:ilvl w:val="0"/>
          <w:numId w:val="1002"/>
        </w:numPr>
      </w:pPr>
      <w:r>
        <w:t xml:space="preserve">The Kingman heavy-traffic approximation analysis</w:t>
      </w:r>
    </w:p>
    <w:p>
      <w:pPr>
        <w:pStyle w:val="Compact"/>
        <w:numPr>
          <w:ilvl w:val="0"/>
          <w:numId w:val="1002"/>
        </w:numPr>
      </w:pPr>
      <w:r>
        <w:t xml:space="preserve">The three governance-by-design principles</w:t>
      </w:r>
    </w:p>
    <w:p>
      <w:pPr>
        <w:pStyle w:val="Compact"/>
        <w:numPr>
          <w:ilvl w:val="0"/>
          <w:numId w:val="1002"/>
        </w:numPr>
      </w:pPr>
      <w:r>
        <w:t xml:space="preserve">The identification and analysis of the three compounding mechanisms (assurance surface inflation, accountability routing fragmentation, review-depth asymmetry)</w:t>
      </w:r>
    </w:p>
    <w:p>
      <w:pPr>
        <w:pStyle w:val="Compact"/>
        <w:numPr>
          <w:ilvl w:val="0"/>
          <w:numId w:val="1002"/>
        </w:numPr>
      </w:pPr>
      <w:r>
        <w:t xml:space="preserve">All mathematical derivations and proofs</w:t>
      </w:r>
    </w:p>
    <w:p>
      <w:pPr>
        <w:pStyle w:val="Compact"/>
        <w:numPr>
          <w:ilvl w:val="0"/>
          <w:numId w:val="1002"/>
        </w:numPr>
      </w:pPr>
      <w:r>
        <w:t xml:space="preserve">The Monte Carlo simulation design and parameterization</w:t>
      </w:r>
    </w:p>
    <w:bookmarkEnd w:id="10"/>
    <w:bookmarkStart w:id="11" w:name="tools-used-in-research-process"/>
    <w:p>
      <w:pPr>
        <w:pStyle w:val="Heading2"/>
      </w:pPr>
      <w:r>
        <w:t xml:space="preserve">Tools Used in Research Process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Simulation code:</w:t>
      </w:r>
      <w:r>
        <w:t xml:space="preserve"> </w:t>
      </w:r>
      <w:r>
        <w:t xml:space="preserve">Python with NumPy, SciPy, Matplotlib (standard scientific computing libraries; no generative AI involved)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Reference management:</w:t>
      </w:r>
      <w:r>
        <w:t xml:space="preserve"> </w:t>
      </w:r>
      <w:r>
        <w:t xml:space="preserve">Manual verification of all citations; no AI-assisted reference generation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Figure generation:</w:t>
      </w:r>
      <w:r>
        <w:t xml:space="preserve"> </w:t>
      </w:r>
      <w:r>
        <w:t xml:space="preserve">Matplotlib and manual layout; no AI-generated images</w:t>
      </w:r>
    </w:p>
    <w:bookmarkEnd w:id="11"/>
    <w:bookmarkStart w:id="12" w:name="compliance-with-elsevier-policy"/>
    <w:p>
      <w:pPr>
        <w:pStyle w:val="Heading2"/>
      </w:pPr>
      <w:r>
        <w:t xml:space="preserve">Compliance with Elsevier Policy</w:t>
      </w:r>
    </w:p>
    <w:p>
      <w:pPr>
        <w:pStyle w:val="Compact"/>
        <w:numPr>
          <w:ilvl w:val="0"/>
          <w:numId w:val="1004"/>
        </w:numPr>
      </w:pPr>
      <w:r>
        <w:t xml:space="preserve">No AI tool is listed as an author or co-author.</w:t>
      </w:r>
    </w:p>
    <w:p>
      <w:pPr>
        <w:pStyle w:val="Compact"/>
        <w:numPr>
          <w:ilvl w:val="0"/>
          <w:numId w:val="1004"/>
        </w:numPr>
      </w:pPr>
      <w:r>
        <w:t xml:space="preserve">All AI-generated output was reviewed and verified for accuracy.</w:t>
      </w:r>
    </w:p>
    <w:p>
      <w:pPr>
        <w:pStyle w:val="Compact"/>
        <w:numPr>
          <w:ilvl w:val="0"/>
          <w:numId w:val="1004"/>
        </w:numPr>
      </w:pPr>
      <w:r>
        <w:t xml:space="preserve">The author maintains full accountability for the work’s accuracy and integrity.</w:t>
      </w:r>
    </w:p>
    <w:p>
      <w:pPr>
        <w:pStyle w:val="Compact"/>
        <w:numPr>
          <w:ilvl w:val="0"/>
          <w:numId w:val="1004"/>
        </w:numPr>
      </w:pPr>
      <w:r>
        <w:t xml:space="preserve">Grammar and spell checking tools were used without requiring disclosure.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Statement prepared by:</w:t>
      </w:r>
      <w:r>
        <w:t xml:space="preserve"> </w:t>
      </w:r>
      <w:r>
        <w:t xml:space="preserve">Shaurya Gupta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3, 2026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2026-06-04T14:24:50Z</dcterms:created>
  <dcterms:modified xsi:type="dcterms:W3CDTF">2026-06-04T14:24:50Z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