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stile-reviewer-audit"/>
    <w:p>
      <w:pPr>
        <w:pStyle w:val="Heading1"/>
      </w:pPr>
      <w:r>
        <w:t xml:space="preserve">Hostile Reviewer Audit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pPr>
        <w:pStyle w:val="BodyText"/>
      </w:pPr>
      <w:r>
        <w:t xml:space="preserve">Three independent hostile reviewers simulated. Each looks for different vulnerabilities.</w:t>
      </w:r>
    </w:p>
    <w:p>
      <w:r>
        <w:pict>
          <v:rect style="width:0;height:1.5pt" o:hralign="center" o:hrstd="t" o:hr="t"/>
        </w:pict>
      </w:r>
    </w:p>
    <w:bookmarkStart w:id="11" w:name="reviewer-a-the-empiricist"/>
    <w:p>
      <w:pPr>
        <w:pStyle w:val="Heading2"/>
      </w:pPr>
      <w:r>
        <w:t xml:space="preserve">Reviewer A: The Empiricist</w:t>
      </w:r>
    </w:p>
    <w:p>
      <w:pPr>
        <w:pStyle w:val="FirstParagraph"/>
      </w:pPr>
      <w:r>
        <w:rPr>
          <w:i/>
          <w:iCs/>
        </w:rPr>
        <w:t xml:space="preserve">“I don’t care how elegant your model is. Show me data.”</w:t>
      </w:r>
    </w:p>
    <w:bookmarkStart w:id="9" w:name="major-concerns"/>
    <w:p>
      <w:pPr>
        <w:pStyle w:val="Heading3"/>
      </w:pPr>
      <w:r>
        <w:t xml:space="preserve">Major Concerns</w:t>
      </w:r>
    </w:p>
    <w:p>
      <w:pPr>
        <w:pStyle w:val="FirstParagraph"/>
      </w:pPr>
      <w:r>
        <w:rPr>
          <w:b/>
          <w:bCs/>
        </w:rPr>
        <w:t xml:space="preserve">A1. No empirical validation whatsoever.</w:t>
      </w:r>
      <w:r>
        <w:t xml:space="preserve"> </w:t>
      </w:r>
      <w:r>
        <w:t xml:space="preserve">This is a simulation paper. The parameters come from one 1997 study. The calibration uses two public reports, not primary data. There is no comparison to real-world oversight outcomes.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HIGH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Acknowledged in limitations. Paper is positioned as theoretical groundwork. Empirical validation is future work. But Reviewer A will not be satisfied by this.</w:t>
      </w:r>
    </w:p>
    <w:p>
      <w:pPr>
        <w:pStyle w:val="BodyText"/>
      </w:pPr>
      <w:r>
        <w:rPr>
          <w:b/>
          <w:bCs/>
        </w:rPr>
        <w:t xml:space="preserve">A2. The 2.71x claim is presented as a finding, not a modeling assumption.</w:t>
      </w:r>
      <w:r>
        <w:t xml:space="preserve"> </w:t>
      </w:r>
      <w:r>
        <w:t xml:space="preserve">The paper says</w:t>
      </w:r>
      <w:r>
        <w:t xml:space="preserve"> </w:t>
      </w:r>
      <w:r>
        <w:t xml:space="preserve">“human triage pipelines saturate 2.71x faster.”</w:t>
      </w:r>
      <w:r>
        <w:t xml:space="preserve"> </w:t>
      </w:r>
      <w:r>
        <w:t xml:space="preserve">This is derived from Kingman’s approximation with assumed parameters. It’s a mathematical result given the assumptions, not an empirical finding.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paper states this is from Kingman’s heavy-traffic approximation. It’s presented as an analytical bound. But the language could be tightened to avoid implying empirical measurement.</w:t>
      </w:r>
    </w:p>
    <w:p>
      <w:pPr>
        <w:pStyle w:val="BodyText"/>
      </w:pPr>
      <w:r>
        <w:rPr>
          <w:b/>
          <w:bCs/>
        </w:rPr>
        <w:t xml:space="preserve">A3. Where are the error bars on the SEDI values?</w:t>
      </w:r>
      <w:r>
        <w:t xml:space="preserve"> </w:t>
      </w:r>
      <w:r>
        <w:t xml:space="preserve">Figure 5 shows SEDI as a single line with no uncertainty. SEDI is computed from variance ratios — those variances have sampling error. Where is it?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SEDI is computed analytically from the degradation function, not estimated from data. But a sensitivity analysis would help.</w:t>
      </w:r>
    </w:p>
    <w:bookmarkEnd w:id="9"/>
    <w:bookmarkStart w:id="10" w:name="X3b48fb408539e73947329cd9c06a0c9dc200e76"/>
    <w:p>
      <w:pPr>
        <w:pStyle w:val="Heading3"/>
      </w:pPr>
      <w:r>
        <w:t xml:space="preserve">Verdict: MAJOR REVISION — needs empirical grounding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reviewer-b-the-methodologist"/>
    <w:p>
      <w:pPr>
        <w:pStyle w:val="Heading2"/>
      </w:pPr>
      <w:r>
        <w:t xml:space="preserve">Reviewer B: The Methodologist</w:t>
      </w:r>
    </w:p>
    <w:p>
      <w:pPr>
        <w:pStyle w:val="FirstParagraph"/>
      </w:pPr>
      <w:r>
        <w:rPr>
          <w:i/>
          <w:iCs/>
        </w:rPr>
        <w:t xml:space="preserve">“Your simulation is fine. Your claims outrun it.”</w:t>
      </w:r>
    </w:p>
    <w:bookmarkStart w:id="12" w:name="major-concerns-1"/>
    <w:p>
      <w:pPr>
        <w:pStyle w:val="Heading3"/>
      </w:pPr>
      <w:r>
        <w:t xml:space="preserve">Major Concerns</w:t>
      </w:r>
    </w:p>
    <w:p>
      <w:pPr>
        <w:pStyle w:val="FirstParagraph"/>
      </w:pPr>
      <w:r>
        <w:rPr>
          <w:b/>
          <w:bCs/>
        </w:rPr>
        <w:t xml:space="preserve">B1. N_MC = 120 is not justified.</w:t>
      </w:r>
      <w:r>
        <w:t xml:space="preserve"> </w:t>
      </w:r>
      <w:r>
        <w:t xml:space="preserve">Why 120? Why not 50? Why not 500? There’s no power analysis, no convergence diagnostic. The paper just says</w:t>
      </w:r>
      <w:r>
        <w:t xml:space="preserve"> </w:t>
      </w:r>
      <w:r>
        <w:t xml:space="preserve">“120 runs yield stable 95% CI”</w:t>
      </w:r>
      <w:r>
        <w:t xml:space="preserve"> </w:t>
      </w:r>
      <w:r>
        <w:t xml:space="preserve">without proving it.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120 is standard for Monte Carlo. CIs are computed. But a convergence plot would help.</w:t>
      </w:r>
    </w:p>
    <w:p>
      <w:pPr>
        <w:pStyle w:val="BodyText"/>
      </w:pPr>
      <w:r>
        <w:rPr>
          <w:b/>
          <w:bCs/>
        </w:rPr>
        <w:t xml:space="preserve">B2. The R² &gt; 0.95 claim is vague.</w:t>
      </w:r>
      <w:r>
        <w:t xml:space="preserve"> </w:t>
      </w:r>
      <w:r>
        <w:t xml:space="preserve">R² for what? The fit of the analytical D(rho) to the MC median? Over what range? Is this reported anywhere in the code output?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code computes the comparison. R² is mentioned in the caption. Could be more explicit.</w:t>
      </w:r>
    </w:p>
    <w:p>
      <w:pPr>
        <w:pStyle w:val="BodyText"/>
      </w:pPr>
      <w:r>
        <w:rPr>
          <w:b/>
          <w:bCs/>
        </w:rPr>
        <w:t xml:space="preserve">B3. KDE bandwidth selection is arbitrary.</w:t>
      </w:r>
      <w:r>
        <w:t xml:space="preserve"> </w:t>
      </w:r>
      <w:r>
        <w:t xml:space="preserve">The paper uses bw_method=0.05 for KDE. Why 0.05? Different bandwidths produce different-looking distributions. This matters because the paper’s argument depends on the shape of these distributions.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LOW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0.05 is a reasonable default for beta-distributed data on [0,1]. But could be justified.</w:t>
      </w:r>
    </w:p>
    <w:p>
      <w:pPr>
        <w:pStyle w:val="BodyText"/>
      </w:pPr>
      <w:r>
        <w:rPr>
          <w:b/>
          <w:bCs/>
        </w:rPr>
        <w:t xml:space="preserve">B4. The three mechanisms overlap conceptually.</w:t>
      </w:r>
      <w:r>
        <w:t xml:space="preserve"> </w:t>
      </w:r>
      <w:r>
        <w:t xml:space="preserve">Mechanism I (assurance surface inflation), Mechanism II (routing fragmentation), and Mechanism III (depth asymmetry) are all consequences of the same throughput asymmetry. They could be one section.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LOW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They are distinct failure pathways with different architectural implications. Separate treatment is warranted.</w:t>
      </w:r>
    </w:p>
    <w:bookmarkEnd w:id="12"/>
    <w:bookmarkStart w:id="13" w:name="X15cfd64b1c807f0bfca8cdd02e70d2339a3e6da"/>
    <w:p>
      <w:pPr>
        <w:pStyle w:val="Heading3"/>
      </w:pPr>
      <w:r>
        <w:t xml:space="preserve">Verdict: MINOR REVISION — tighten methods justification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reviewer-c-the-gatekeeper"/>
    <w:p>
      <w:pPr>
        <w:pStyle w:val="Heading2"/>
      </w:pPr>
      <w:r>
        <w:t xml:space="preserve">Reviewer C: The Gatekeeper</w:t>
      </w:r>
    </w:p>
    <w:p>
      <w:pPr>
        <w:pStyle w:val="FirstParagraph"/>
      </w:pPr>
      <w:r>
        <w:rPr>
          <w:i/>
          <w:iCs/>
        </w:rPr>
        <w:t xml:space="preserve">“This is not what we publish. The author doesn’t understand our field.”</w:t>
      </w:r>
    </w:p>
    <w:bookmarkStart w:id="15" w:name="major-concerns-2"/>
    <w:p>
      <w:pPr>
        <w:pStyle w:val="Heading3"/>
      </w:pPr>
      <w:r>
        <w:t xml:space="preserve">Major Concerns</w:t>
      </w:r>
    </w:p>
    <w:p>
      <w:pPr>
        <w:pStyle w:val="FirstParagraph"/>
      </w:pPr>
      <w:r>
        <w:rPr>
          <w:b/>
          <w:bCs/>
        </w:rPr>
        <w:t xml:space="preserve">C1. The paper reads like a CS workshop paper with governance buzzwords.</w:t>
      </w:r>
      <w:r>
        <w:t xml:space="preserve"> </w:t>
      </w:r>
      <w:r>
        <w:t xml:space="preserve">O(N) notation, state-space models, KDE plots, Monte Carlo simulations. This is computer science, not technology-in-society scholarship. Where is the engagement with STS literature? With science and technology studies? With sociological theory beyond one Meyer &amp; Rowan citation?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HIGH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paper’s contribution IS the formal modeling of a governance failure mode. It engages with Bovens, Nissenbaum, Eubanks, Lipsky. But Reviewer C wants deeper STS engagement.</w:t>
      </w:r>
    </w:p>
    <w:p>
      <w:pPr>
        <w:pStyle w:val="BodyText"/>
      </w:pPr>
      <w:r>
        <w:rPr>
          <w:b/>
          <w:bCs/>
        </w:rPr>
        <w:t xml:space="preserve">C2. The author is a high school student with no academic affiliation.</w:t>
      </w:r>
      <w:r>
        <w:t xml:space="preserve"> </w:t>
      </w:r>
      <w:r>
        <w:t xml:space="preserve">This raises questions about quality control, mentorship, and whether the work meets scholarly standards. Who supervised this? Who verified the math?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HIGH (for desk rejection risk)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work speaks for itself. The code is public. The math is verifiable. But some editors will desk-reject on author credentials alone.</w:t>
      </w:r>
    </w:p>
    <w:p>
      <w:pPr>
        <w:pStyle w:val="BodyText"/>
      </w:pPr>
      <w:r>
        <w:rPr>
          <w:b/>
          <w:bCs/>
        </w:rPr>
        <w:t xml:space="preserve">C3. Citing AAAI workshop papers as references is inappropriate.</w:t>
      </w:r>
      <w:r>
        <w:t xml:space="preserve"> </w:t>
      </w:r>
      <w:r>
        <w:t xml:space="preserve">Three of 16 references are from the same 2026 workshop. Workshop papers are not peer-reviewed at journal standard. This looks like citation padding or a citation ring.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workshop papers are cited substantively as architectural context. They are not foundational references. But Reviewer C has a point.</w:t>
      </w:r>
    </w:p>
    <w:p>
      <w:pPr>
        <w:pStyle w:val="BodyText"/>
      </w:pPr>
      <w:r>
        <w:rPr>
          <w:b/>
          <w:bCs/>
        </w:rPr>
        <w:t xml:space="preserve">C4. The paper claims to derive</w:t>
      </w:r>
      <w:r>
        <w:rPr>
          <w:b/>
          <w:bCs/>
        </w:rPr>
        <w:t xml:space="preserve"> </w:t>
      </w:r>
      <w:r>
        <w:rPr>
          <w:b/>
          <w:bCs/>
        </w:rPr>
        <w:t xml:space="preserve">“governance-by-design principles”</w:t>
      </w:r>
      <w:r>
        <w:rPr>
          <w:b/>
          <w:bCs/>
        </w:rPr>
        <w:t xml:space="preserve"> </w:t>
      </w:r>
      <w:r>
        <w:rPr>
          <w:b/>
          <w:bCs/>
        </w:rPr>
        <w:t xml:space="preserve">but these are just common-sense recommendations.</w:t>
      </w:r>
      <w:r>
        <w:t xml:space="preserve"> </w:t>
      </w:r>
      <w:r>
        <w:t xml:space="preserve">“Treat oversight capacity as a scaling constraint”</w:t>
      </w:r>
      <w:r>
        <w:t xml:space="preserve"> </w:t>
      </w:r>
      <w:r>
        <w:t xml:space="preserve">— this is obvious.</w:t>
      </w:r>
      <w:r>
        <w:t xml:space="preserve"> </w:t>
      </w:r>
      <w:r>
        <w:t xml:space="preserve">“Deploy SEDI as a monitoring metric”</w:t>
      </w:r>
      <w:r>
        <w:t xml:space="preserve"> </w:t>
      </w:r>
      <w:r>
        <w:t xml:space="preserve">— this is circular (the paper invents SEDI and then recommends using it).</w:t>
      </w:r>
      <w:r>
        <w:t xml:space="preserve"> </w:t>
      </w:r>
      <w:r>
        <w:t xml:space="preserve">“Separate answerability from enforcement”</w:t>
      </w:r>
      <w:r>
        <w:t xml:space="preserve"> </w:t>
      </w:r>
      <w:r>
        <w:t xml:space="preserve">— Bovens said this in 2007.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The principles are operationalizations of the model’s findings. They are specific (naming actors, mechanisms, thresholds), not vague. But the novelty of the principles themselves could be questioned.</w:t>
      </w:r>
    </w:p>
    <w:bookmarkEnd w:id="15"/>
    <w:bookmarkStart w:id="16" w:name="X02e5b5ce76d6699e466f914db34fe9ac1483bb6"/>
    <w:p>
      <w:pPr>
        <w:pStyle w:val="Heading3"/>
      </w:pPr>
      <w:r>
        <w:t xml:space="preserve">Verdict: DESK REJECT (if editor agrees with framing concerns)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-of-vulnerabilities"/>
    <w:p>
      <w:pPr>
        <w:pStyle w:val="Heading2"/>
      </w:pPr>
      <w:r>
        <w:t xml:space="preserve">Summary of Vulnerabilities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Fixable?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empirical validation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(inherent to theoretical paper)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Author is high school student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No (but cover letter addresses it honestly)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CS-heavy writing style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Partially (intro/conclusion rewritten)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2.71x framed as finding vs. assumption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Yes (tighten language)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N_MC=120 not justified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Yes (add convergence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Workshop paper citations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Partially (they’re substantive citations)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R² claim vague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Yes (make explicit)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SEDI error bars missing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Partially (analytical, not empirical)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KDE bandwidth arbitrary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Yes (justify)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Mechanisms overlap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No (intentional 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Governance principles not novel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Partially (they’re operationalizations)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The paper can survive hostile review. The core mathematical contribution is sound. The code backs the simulation claims. The limitations are honest.</w:t>
      </w:r>
    </w:p>
    <w:p>
      <w:pPr>
        <w:pStyle w:val="BodyText"/>
      </w:pPr>
      <w:r>
        <w:t xml:space="preserve">The biggest risks are:</w:t>
      </w:r>
      <w:r>
        <w:t xml:space="preserve"> </w:t>
      </w:r>
      <w:r>
        <w:t xml:space="preserve">1. An empiricist reviewer who won’t accept theoretical work (Reviewer A)</w:t>
      </w:r>
      <w:r>
        <w:t xml:space="preserve"> </w:t>
      </w:r>
      <w:r>
        <w:t xml:space="preserve">2. An editor who desk-rejects based on author credentials (Reviewer C)</w:t>
      </w:r>
      <w:r>
        <w:t xml:space="preserve"> </w:t>
      </w:r>
      <w:r>
        <w:t xml:space="preserve">3. The CS/STS stylistic tension that neither audience fully embraces</w:t>
      </w:r>
    </w:p>
    <w:p>
      <w:pPr>
        <w:pStyle w:val="BodyText"/>
      </w:pPr>
      <w:r>
        <w:t xml:space="preserve">These are inherent risks of an interdisciplinary theoretical paper from an unusual author. They cannot be fully eliminated — only mitigated through honest framing and public code.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2026-06-04T14:24:56Z</dcterms:created>
  <dcterms:modified xsi:type="dcterms:W3CDTF">2026-06-04T14:24:56Z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