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pository-plan"/>
    <w:p>
      <w:pPr>
        <w:pStyle w:val="Heading1"/>
      </w:pPr>
      <w:r>
        <w:t xml:space="preserve">REPOSITORY PLAN</w:t>
      </w:r>
    </w:p>
    <w:bookmarkStart w:id="9" w:name="X7ae7cbb1149f6b3973843f50cedeaa1b62a4aac"/>
    <w:p>
      <w:pPr>
        <w:pStyle w:val="Heading2"/>
      </w:pPr>
      <w:r>
        <w:t xml:space="preserve">Manuscript:</w:t>
      </w:r>
      <w:r>
        <w:t xml:space="preserve"> </w:t>
      </w:r>
      <w:r>
        <w:t xml:space="preserve">“Institutional Observability Under Scaled AI Governance”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p>
      <w:r>
        <w:pict>
          <v:rect style="width:0;height:1.5pt" o:hralign="center" o:hrstd="t" o:hr="t"/>
        </w:pict>
      </w:r>
    </w:p>
    <w:bookmarkEnd w:id="9"/>
    <w:bookmarkStart w:id="10" w:name="decision-create-repository"/>
    <w:p>
      <w:pPr>
        <w:pStyle w:val="Heading2"/>
      </w:pPr>
      <w:r>
        <w:t xml:space="preserve">Decision: CREATE REPOSITORY</w:t>
      </w:r>
    </w:p>
    <w:p>
      <w:pPr>
        <w:pStyle w:val="FirstParagraph"/>
      </w:pPr>
      <w:r>
        <w:t xml:space="preserve">A GitHub repository is</w:t>
      </w:r>
      <w:r>
        <w:t xml:space="preserve"> </w:t>
      </w:r>
      <w:r>
        <w:rPr>
          <w:b/>
          <w:bCs/>
        </w:rPr>
        <w:t xml:space="preserve">recommended</w:t>
      </w:r>
      <w:r>
        <w:t xml:space="preserve"> </w:t>
      </w:r>
      <w:r>
        <w:t xml:space="preserve">for this manuscript. The simulation code, figure generation, and supplementary materials are substantive enough to warrant a standalone reproducibility package.</w:t>
      </w:r>
    </w:p>
    <w:p>
      <w:r>
        <w:pict>
          <v:rect style="width:0;height:1.5pt" o:hralign="center" o:hrstd="t" o:hr="t"/>
        </w:pict>
      </w:r>
    </w:p>
    <w:bookmarkEnd w:id="10"/>
    <w:bookmarkStart w:id="11" w:name="repository-name"/>
    <w:p>
      <w:pPr>
        <w:pStyle w:val="Heading2"/>
      </w:pPr>
      <w:r>
        <w:t xml:space="preserve">Repository Name</w:t>
      </w:r>
    </w:p>
    <w:p>
      <w:pPr>
        <w:pStyle w:val="FirstParagraph"/>
      </w:pPr>
      <w:r>
        <w:rPr>
          <w:rStyle w:val="VerbatimChar"/>
        </w:rPr>
        <w:t xml:space="preserve">oversight-saturation-sedi</w:t>
      </w:r>
    </w:p>
    <w:p>
      <w:r>
        <w:pict>
          <v:rect style="width:0;height:1.5pt" o:hralign="center" o:hrstd="t" o:hr="t"/>
        </w:pict>
      </w:r>
    </w:p>
    <w:bookmarkEnd w:id="11"/>
    <w:bookmarkStart w:id="12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oversight-saturation-sedi/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CITATION.cff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code/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├── environment.yml</w:t>
      </w:r>
      <w:r>
        <w:br/>
      </w:r>
      <w:r>
        <w:rPr>
          <w:rStyle w:val="VerbatimChar"/>
        </w:rPr>
        <w:t xml:space="preserve">│   ├── monte_carlo_simulation.py      # Main MC simulation (120 runs)</w:t>
      </w:r>
      <w:r>
        <w:br/>
      </w:r>
      <w:r>
        <w:rPr>
          <w:rStyle w:val="VerbatimChar"/>
        </w:rPr>
        <w:t xml:space="preserve">│   ├── kingman_analysis.py            # Kingman heavy-traffic approximation</w:t>
      </w:r>
      <w:r>
        <w:br/>
      </w:r>
      <w:r>
        <w:rPr>
          <w:rStyle w:val="VerbatimChar"/>
        </w:rPr>
        <w:t xml:space="preserve">│   ├── depth_degradation.py           # D(ρ) degradation function</w:t>
      </w:r>
      <w:r>
        <w:br/>
      </w:r>
      <w:r>
        <w:rPr>
          <w:rStyle w:val="VerbatimChar"/>
        </w:rPr>
        <w:t xml:space="preserve">│   ├── sedi_computation.py            # SEDI index calculation</w:t>
      </w:r>
      <w:r>
        <w:br/>
      </w:r>
      <w:r>
        <w:rPr>
          <w:rStyle w:val="VerbatimChar"/>
        </w:rPr>
        <w:t xml:space="preserve">│   ├── figure_generation.py           # All figure generation</w:t>
      </w:r>
      <w:r>
        <w:br/>
      </w:r>
      <w:r>
        <w:rPr>
          <w:rStyle w:val="VerbatimChar"/>
        </w:rPr>
        <w:t xml:space="preserve">│   └── utils.py                       # Shared utilities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fig_saturation.pdf             # Figure 1: Saturation curve</w:t>
      </w:r>
      <w:r>
        <w:br/>
      </w:r>
      <w:r>
        <w:rPr>
          <w:rStyle w:val="VerbatimChar"/>
        </w:rPr>
        <w:t xml:space="preserve">│   ├── fig_divergence.pdf             # Figure 2: O(N)/O(log N) divergence</w:t>
      </w:r>
      <w:r>
        <w:br/>
      </w:r>
      <w:r>
        <w:rPr>
          <w:rStyle w:val="VerbatimChar"/>
        </w:rPr>
        <w:t xml:space="preserve">│   ├── fig_routing.pdf                # Figure 3: Routing architecture</w:t>
      </w:r>
      <w:r>
        <w:br/>
      </w:r>
      <w:r>
        <w:rPr>
          <w:rStyle w:val="VerbatimChar"/>
        </w:rPr>
        <w:t xml:space="preserve">│   ├── fig_depth_kde.pdf              # Figure 4: Review depth KDE</w:t>
      </w:r>
      <w:r>
        <w:br/>
      </w:r>
      <w:r>
        <w:rPr>
          <w:rStyle w:val="VerbatimChar"/>
        </w:rPr>
        <w:t xml:space="preserve">│   └── fig_sedi.pdf                   # Figure 5: SEDI degradation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simulation_outputs/            # CSV outputs from MC runs</w:t>
      </w:r>
      <w:r>
        <w:br/>
      </w:r>
      <w:r>
        <w:rPr>
          <w:rStyle w:val="VerbatimChar"/>
        </w:rPr>
        <w:t xml:space="preserve">│   │   ├── queue_lengths.csv</w:t>
      </w:r>
      <w:r>
        <w:br/>
      </w:r>
      <w:r>
        <w:rPr>
          <w:rStyle w:val="VerbatimChar"/>
        </w:rPr>
        <w:t xml:space="preserve">│   │   ├── review_depths.csv</w:t>
      </w:r>
      <w:r>
        <w:br/>
      </w:r>
      <w:r>
        <w:rPr>
          <w:rStyle w:val="VerbatimChar"/>
        </w:rPr>
        <w:t xml:space="preserve">│   │   └── sedi_values.csv</w:t>
      </w:r>
      <w:r>
        <w:br/>
      </w:r>
      <w:r>
        <w:rPr>
          <w:rStyle w:val="VerbatimChar"/>
        </w:rPr>
        <w:t xml:space="preserve">│   └── calibration/                   # Calibration data references</w:t>
      </w:r>
      <w:r>
        <w:br/>
      </w:r>
      <w:r>
        <w:rPr>
          <w:rStyle w:val="VerbatimChar"/>
        </w:rPr>
        <w:t xml:space="preserve">│       └── README.md                  # Links to Vanderbilt, PHTI sources</w:t>
      </w:r>
      <w:r>
        <w:br/>
      </w:r>
      <w:r>
        <w:rPr>
          <w:rStyle w:val="VerbatimChar"/>
        </w:rPr>
        <w:t xml:space="preserve">├── supplementary/</w:t>
      </w:r>
      <w:r>
        <w:br/>
      </w:r>
      <w:r>
        <w:rPr>
          <w:rStyle w:val="VerbatimChar"/>
        </w:rPr>
        <w:t xml:space="preserve">│   ├── appendix_a_derivations.pdf     # Full mathematical derivations</w:t>
      </w:r>
      <w:r>
        <w:br/>
      </w:r>
      <w:r>
        <w:rPr>
          <w:rStyle w:val="VerbatimChar"/>
        </w:rPr>
        <w:t xml:space="preserve">│   ├── appendix_b_sensitivity.pdf     # Sensitivity analysis</w:t>
      </w:r>
      <w:r>
        <w:br/>
      </w:r>
      <w:r>
        <w:rPr>
          <w:rStyle w:val="VerbatimChar"/>
        </w:rPr>
        <w:t xml:space="preserve">│   ├── appendix_c_scenarios.pdf       # Additional scenarios</w:t>
      </w:r>
      <w:r>
        <w:br/>
      </w:r>
      <w:r>
        <w:rPr>
          <w:rStyle w:val="VerbatimChar"/>
        </w:rPr>
        <w:t xml:space="preserve">│   └── appendix_d_calibration.pdf     # Calibration methodology</w:t>
      </w:r>
      <w:r>
        <w:br/>
      </w:r>
      <w:r>
        <w:rPr>
          <w:rStyle w:val="VerbatimChar"/>
        </w:rPr>
        <w:t xml:space="preserve">└── manuscript/</w:t>
      </w:r>
      <w:r>
        <w:br/>
      </w:r>
      <w:r>
        <w:rPr>
          <w:rStyle w:val="VerbatimChar"/>
        </w:rPr>
        <w:t xml:space="preserve">    └── README.md                      # Link to published version</w:t>
      </w:r>
    </w:p>
    <w:p>
      <w:r>
        <w:pict>
          <v:rect style="width:0;height:1.5pt" o:hralign="center" o:hrstd="t" o:hr="t"/>
        </w:pict>
      </w:r>
    </w:p>
    <w:bookmarkEnd w:id="12"/>
    <w:bookmarkStart w:id="18" w:name="required-files"/>
    <w:p>
      <w:pPr>
        <w:pStyle w:val="Heading2"/>
      </w:pPr>
      <w:r>
        <w:t xml:space="preserve">Required Files</w:t>
      </w:r>
    </w:p>
    <w:bookmarkStart w:id="13" w:name="readme.md"/>
    <w:p>
      <w:pPr>
        <w:pStyle w:val="Heading3"/>
      </w:pPr>
      <w:r>
        <w:t xml:space="preserve">1. README.md</w:t>
      </w:r>
    </w:p>
    <w:p>
      <w:pPr>
        <w:pStyle w:val="Compact"/>
        <w:numPr>
          <w:ilvl w:val="0"/>
          <w:numId w:val="1001"/>
        </w:numPr>
      </w:pPr>
      <w:r>
        <w:t xml:space="preserve">Paper title and authors</w:t>
      </w:r>
    </w:p>
    <w:p>
      <w:pPr>
        <w:pStyle w:val="Compact"/>
        <w:numPr>
          <w:ilvl w:val="0"/>
          <w:numId w:val="1001"/>
        </w:numPr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Repository overview</w:t>
      </w:r>
    </w:p>
    <w:p>
      <w:pPr>
        <w:pStyle w:val="Compact"/>
        <w:numPr>
          <w:ilvl w:val="0"/>
          <w:numId w:val="1001"/>
        </w:numPr>
      </w:pPr>
      <w:r>
        <w:t xml:space="preserve">Dependencies and installation</w:t>
      </w:r>
    </w:p>
    <w:p>
      <w:pPr>
        <w:pStyle w:val="Compact"/>
        <w:numPr>
          <w:ilvl w:val="0"/>
          <w:numId w:val="1001"/>
        </w:numPr>
      </w:pPr>
      <w:r>
        <w:t xml:space="preserve">How to run simulations</w:t>
      </w:r>
    </w:p>
    <w:p>
      <w:pPr>
        <w:pStyle w:val="Compact"/>
        <w:numPr>
          <w:ilvl w:val="0"/>
          <w:numId w:val="1001"/>
        </w:numPr>
      </w:pPr>
      <w:r>
        <w:t xml:space="preserve">How to reproduce figures</w:t>
      </w:r>
    </w:p>
    <w:p>
      <w:pPr>
        <w:pStyle w:val="Compact"/>
        <w:numPr>
          <w:ilvl w:val="0"/>
          <w:numId w:val="1001"/>
        </w:numPr>
      </w:pPr>
      <w:r>
        <w:t xml:space="preserve">Citation information</w:t>
      </w:r>
    </w:p>
    <w:p>
      <w:pPr>
        <w:pStyle w:val="Compact"/>
        <w:numPr>
          <w:ilvl w:val="0"/>
          <w:numId w:val="1001"/>
        </w:numPr>
      </w:pPr>
      <w:r>
        <w:t xml:space="preserve">License information</w:t>
      </w:r>
    </w:p>
    <w:bookmarkEnd w:id="13"/>
    <w:bookmarkStart w:id="14" w:name="license"/>
    <w:p>
      <w:pPr>
        <w:pStyle w:val="Heading3"/>
      </w:pPr>
      <w:r>
        <w:t xml:space="preserve">2. LICENSE</w:t>
      </w:r>
    </w:p>
    <w:p>
      <w:pPr>
        <w:pStyle w:val="Compact"/>
        <w:numPr>
          <w:ilvl w:val="0"/>
          <w:numId w:val="1002"/>
        </w:numPr>
      </w:pPr>
      <w:r>
        <w:t xml:space="preserve">MIT License (permissive, standard for academic code)</w:t>
      </w:r>
    </w:p>
    <w:p>
      <w:pPr>
        <w:pStyle w:val="Compact"/>
        <w:numPr>
          <w:ilvl w:val="0"/>
          <w:numId w:val="1002"/>
        </w:numPr>
      </w:pPr>
      <w:r>
        <w:t xml:space="preserve">Enables maximum reuse while requiring attribution</w:t>
      </w:r>
    </w:p>
    <w:bookmarkEnd w:id="14"/>
    <w:bookmarkStart w:id="15" w:name="citation.cff"/>
    <w:p>
      <w:pPr>
        <w:pStyle w:val="Heading3"/>
      </w:pPr>
      <w:r>
        <w:t xml:space="preserve">3. CITATION.cff</w:t>
      </w:r>
    </w:p>
    <w:p>
      <w:pPr>
        <w:pStyle w:val="SourceCode"/>
      </w:pPr>
      <w:r>
        <w:rPr>
          <w:rStyle w:val="FunctionTok"/>
        </w:rPr>
        <w:t xml:space="preserve">cff-version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1.2.0</w:t>
      </w:r>
      <w:r>
        <w:br/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"If you use this software, please cite it as below."</w:t>
      </w:r>
      <w:r>
        <w:br/>
      </w:r>
      <w:r>
        <w:rPr>
          <w:rStyle w:val="FunctionTok"/>
        </w:rPr>
        <w:t xml:space="preserve">authors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family-names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"[AUTHOR]"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given-names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"[AUTHOR]"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"Oversight Saturation: Simulation Code for SEDI Index"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date-released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2026-06-03</w:t>
      </w:r>
      <w:r>
        <w:br/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"https://github.com/[username]/oversight-saturation-sedi"</w:t>
      </w:r>
    </w:p>
    <w:bookmarkEnd w:id="15"/>
    <w:bookmarkStart w:id="16" w:name="requirements.txt"/>
    <w:p>
      <w:pPr>
        <w:pStyle w:val="Heading3"/>
      </w:pPr>
      <w:r>
        <w:t xml:space="preserve">4. requirements.txt</w:t>
      </w:r>
    </w:p>
    <w:p>
      <w:pPr>
        <w:pStyle w:val="SourceCode"/>
      </w:pPr>
      <w:r>
        <w:rPr>
          <w:rStyle w:val="VerbatimChar"/>
        </w:rPr>
        <w:t xml:space="preserve">numpy&gt;=1.24.0</w:t>
      </w:r>
      <w:r>
        <w:br/>
      </w:r>
      <w:r>
        <w:rPr>
          <w:rStyle w:val="VerbatimChar"/>
        </w:rPr>
        <w:t xml:space="preserve">scipy&gt;=1.10.0</w:t>
      </w:r>
      <w:r>
        <w:br/>
      </w:r>
      <w:r>
        <w:rPr>
          <w:rStyle w:val="VerbatimChar"/>
        </w:rPr>
        <w:t xml:space="preserve">matplotlib&gt;=3.7.0</w:t>
      </w:r>
      <w:r>
        <w:br/>
      </w:r>
      <w:r>
        <w:rPr>
          <w:rStyle w:val="VerbatimChar"/>
        </w:rPr>
        <w:t xml:space="preserve">pandas&gt;=2.0.0</w:t>
      </w:r>
      <w:r>
        <w:br/>
      </w:r>
      <w:r>
        <w:rPr>
          <w:rStyle w:val="VerbatimChar"/>
        </w:rPr>
        <w:t xml:space="preserve">seaborn&gt;=0.12.0</w:t>
      </w:r>
    </w:p>
    <w:bookmarkEnd w:id="16"/>
    <w:bookmarkStart w:id="17" w:name="gitignore"/>
    <w:p>
      <w:pPr>
        <w:pStyle w:val="Heading3"/>
      </w:pPr>
      <w:r>
        <w:t xml:space="preserve">5. .gitignore</w:t>
      </w:r>
    </w:p>
    <w:p>
      <w:pPr>
        <w:pStyle w:val="SourceCode"/>
      </w:pP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.ipynb_checkpoints/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*.aux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*.out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producibility-package"/>
    <w:p>
      <w:pPr>
        <w:pStyle w:val="Heading2"/>
      </w:pPr>
      <w:r>
        <w:t xml:space="preserve">Reproducibility Package</w:t>
      </w:r>
    </w:p>
    <w:p>
      <w:pPr>
        <w:pStyle w:val="FirstParagraph"/>
      </w:pPr>
      <w:r>
        <w:t xml:space="preserve">The repository serves as a complete reproducibility package:</w:t>
      </w:r>
      <w:r>
        <w:t xml:space="preserve"> </w:t>
      </w:r>
      <w:r>
        <w:t xml:space="preserve">- All code to regenerate every figure and table</w:t>
      </w:r>
      <w:r>
        <w:t xml:space="preserve"> </w:t>
      </w:r>
      <w:r>
        <w:t xml:space="preserve">- All simulation parameters documented</w:t>
      </w:r>
      <w:r>
        <w:t xml:space="preserve"> </w:t>
      </w:r>
      <w:r>
        <w:t xml:space="preserve">- All outputs archived</w:t>
      </w:r>
      <w:r>
        <w:t xml:space="preserve"> </w:t>
      </w:r>
      <w:r>
        <w:t xml:space="preserve">- Clear instructions for independent verification</w:t>
      </w:r>
    </w:p>
    <w:p>
      <w:r>
        <w:pict>
          <v:rect style="width:0;height:1.5pt" o:hralign="center" o:hrstd="t" o:hr="t"/>
        </w:pict>
      </w:r>
    </w:p>
    <w:bookmarkEnd w:id="19"/>
    <w:bookmarkStart w:id="20" w:name="hosting"/>
    <w:p>
      <w:pPr>
        <w:pStyle w:val="Heading2"/>
      </w:pPr>
      <w:r>
        <w:t xml:space="preserve">Hosting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GitHub (public repository)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Archive:</w:t>
      </w:r>
      <w:r>
        <w:t xml:space="preserve"> </w:t>
      </w:r>
      <w:r>
        <w:t xml:space="preserve">Zenodo (DOI-minted snapshot for permanence)</w:t>
      </w:r>
    </w:p>
    <w:p>
      <w:pPr>
        <w:pStyle w:val="Compact"/>
        <w:numPr>
          <w:ilvl w:val="0"/>
          <w:numId w:val="1003"/>
        </w:numPr>
      </w:pPr>
      <w:r>
        <w:t xml:space="preserve">The Zenodo DOI should be cited in the manuscript’s data/code availability statement</w:t>
      </w:r>
    </w:p>
    <w:p>
      <w:r>
        <w:pict>
          <v:rect style="width:0;height:1.5pt" o:hralign="center" o:hrstd="t" o:hr="t"/>
        </w:pict>
      </w:r>
    </w:p>
    <w:bookmarkEnd w:id="20"/>
    <w:bookmarkStart w:id="21" w:name="post-submission-workflow"/>
    <w:p>
      <w:pPr>
        <w:pStyle w:val="Heading2"/>
      </w:pPr>
      <w:r>
        <w:t xml:space="preserve">Post-Submission Workflow</w:t>
      </w:r>
    </w:p>
    <w:p>
      <w:pPr>
        <w:pStyle w:val="Compact"/>
        <w:numPr>
          <w:ilvl w:val="0"/>
          <w:numId w:val="1004"/>
        </w:numPr>
      </w:pPr>
      <w:r>
        <w:t xml:space="preserve">Create GitHub repository (private during review)</w:t>
      </w:r>
    </w:p>
    <w:p>
      <w:pPr>
        <w:pStyle w:val="Compact"/>
        <w:numPr>
          <w:ilvl w:val="0"/>
          <w:numId w:val="1004"/>
        </w:numPr>
      </w:pPr>
      <w:r>
        <w:t xml:space="preserve">Push all code and supplementary materials</w:t>
      </w:r>
    </w:p>
    <w:p>
      <w:pPr>
        <w:pStyle w:val="Compact"/>
        <w:numPr>
          <w:ilvl w:val="0"/>
          <w:numId w:val="1004"/>
        </w:numPr>
      </w:pPr>
      <w:r>
        <w:t xml:space="preserve">Mint Zenodo DOI after acceptance</w:t>
      </w:r>
    </w:p>
    <w:p>
      <w:pPr>
        <w:pStyle w:val="Compact"/>
        <w:numPr>
          <w:ilvl w:val="0"/>
          <w:numId w:val="1004"/>
        </w:numPr>
      </w:pPr>
      <w:r>
        <w:t xml:space="preserve">Update manuscript with DOI before publication</w:t>
      </w:r>
    </w:p>
    <w:p>
      <w:pPr>
        <w:pStyle w:val="Compact"/>
        <w:numPr>
          <w:ilvl w:val="0"/>
          <w:numId w:val="1004"/>
        </w:numPr>
      </w:pPr>
      <w:r>
        <w:t xml:space="preserve">Make repository public upon publication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2026-06-04T14:24:57Z</dcterms:created>
  <dcterms:modified xsi:type="dcterms:W3CDTF">2026-06-04T14:24:57Z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