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scope-fit-audit"/>
    <w:p>
      <w:pPr>
        <w:pStyle w:val="Heading1"/>
      </w:pPr>
      <w:r>
        <w:t xml:space="preserve">Scope Fit Audit</w:t>
      </w:r>
    </w:p>
    <w:p>
      <w:pPr>
        <w:pStyle w:val="FirstParagraph"/>
      </w:pPr>
      <w:r>
        <w:rPr>
          <w:b/>
          <w:bCs/>
        </w:rPr>
        <w:t xml:space="preserve">Paper:</w:t>
      </w:r>
      <w:r>
        <w:t xml:space="preserve"> </w:t>
      </w:r>
      <w:r>
        <w:t xml:space="preserve">“Institutional Observability Under Scaled AI Governance”</w:t>
      </w:r>
      <w:r>
        <w:t xml:space="preserve"> </w:t>
      </w:r>
      <w:r>
        <w:rPr>
          <w:b/>
          <w:bCs/>
        </w:rPr>
        <w:t xml:space="preserve">Auditor:</w:t>
      </w:r>
      <w:r>
        <w:t xml:space="preserve"> </w:t>
      </w:r>
      <w:r>
        <w:t xml:space="preserve">Technology in Society handling editor perspective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June 4, 2026</w:t>
      </w:r>
    </w:p>
    <w:p>
      <w:r>
        <w:pict>
          <v:rect style="width:0;height:1.5pt" o:hralign="center" o:hrstd="t" o:hr="t"/>
        </w:pict>
      </w:r>
    </w:p>
    <w:bookmarkStart w:id="9" w:name="criterion-1-topic-fit"/>
    <w:p>
      <w:pPr>
        <w:pStyle w:val="Heading2"/>
      </w:pPr>
      <w:r>
        <w:t xml:space="preserve">Criterion 1: Topic Fit</w:t>
      </w:r>
    </w:p>
    <w:p>
      <w:pPr>
        <w:pStyle w:val="FirstParagraph"/>
      </w:pPr>
      <w:r>
        <w:rPr>
          <w:b/>
          <w:bCs/>
        </w:rPr>
        <w:t xml:space="preserve">Assessment:</w:t>
      </w:r>
      <w:r>
        <w:t xml:space="preserve"> </w:t>
      </w:r>
      <w:r>
        <w:t xml:space="preserve">🟢 GREEN</w:t>
      </w:r>
    </w:p>
    <w:p>
      <w:pPr>
        <w:pStyle w:val="BodyText"/>
      </w:pPr>
      <w:r>
        <w:t xml:space="preserve">The paper addresses AI governance and institutional oversight — a core topic in Technology in Society’s recent research directions. The journal explicitly lists</w:t>
      </w:r>
      <w:r>
        <w:t xml:space="preserve"> </w:t>
      </w:r>
      <w:r>
        <w:t xml:space="preserve">“AI ethics and AI governance”</w:t>
      </w:r>
      <w:r>
        <w:t xml:space="preserve"> </w:t>
      </w:r>
      <w:r>
        <w:t xml:space="preserve">and</w:t>
      </w:r>
      <w:r>
        <w:t xml:space="preserve"> </w:t>
      </w:r>
      <w:r>
        <w:t xml:space="preserve">“algorithmic accountability and fairness”</w:t>
      </w:r>
      <w:r>
        <w:t xml:space="preserve"> </w:t>
      </w:r>
      <w:r>
        <w:t xml:space="preserve">among its active areas.</w:t>
      </w:r>
    </w:p>
    <w:p>
      <w:pPr>
        <w:pStyle w:val="BodyText"/>
      </w:pPr>
      <w:r>
        <w:rPr>
          <w:b/>
          <w:bCs/>
        </w:rPr>
        <w:t xml:space="preserve">Evidence:</w:t>
      </w:r>
      <w:r>
        <w:t xml:space="preserve"> </w:t>
      </w:r>
      <w:r>
        <w:t xml:space="preserve">- Journal publishes on AI governance frameworks, algorithmic accountability, and compliance infrastructure</w:t>
      </w:r>
      <w:r>
        <w:t xml:space="preserve"> </w:t>
      </w:r>
      <w:r>
        <w:t xml:space="preserve">- Recent issues feature papers on AI ethics, governance-by-design, and audit mechanisms</w:t>
      </w:r>
      <w:r>
        <w:t xml:space="preserve"> </w:t>
      </w:r>
      <w:r>
        <w:t xml:space="preserve">- The paper’s focus on institutional observability under scaled deployment directly engages the technology-society-governance intersection</w:t>
      </w:r>
    </w:p>
    <w:p>
      <w:r>
        <w:pict>
          <v:rect style="width:0;height:1.5pt" o:hralign="center" o:hrstd="t" o:hr="t"/>
        </w:pict>
      </w:r>
    </w:p>
    <w:bookmarkEnd w:id="9"/>
    <w:bookmarkStart w:id="10" w:name="criterion-2-methodological-fit"/>
    <w:p>
      <w:pPr>
        <w:pStyle w:val="Heading2"/>
      </w:pPr>
      <w:r>
        <w:t xml:space="preserve">Criterion 2: Methodological Fit</w:t>
      </w:r>
    </w:p>
    <w:p>
      <w:pPr>
        <w:pStyle w:val="FirstParagraph"/>
      </w:pPr>
      <w:r>
        <w:rPr>
          <w:b/>
          <w:bCs/>
        </w:rPr>
        <w:t xml:space="preserve">Assessment:</w:t>
      </w:r>
      <w:r>
        <w:t xml:space="preserve"> </w:t>
      </w:r>
      <w:r>
        <w:t xml:space="preserve">🟡 YELLOW</w:t>
      </w:r>
    </w:p>
    <w:p>
      <w:pPr>
        <w:pStyle w:val="BodyText"/>
      </w:pPr>
      <w:r>
        <w:t xml:space="preserve">The paper uses state-space modeling, queueing theory, and Monte Carlo simulation. These are rigorous methods but are more commonly seen in CS/engineering venues than social science journals. Technology in Society accepts theoretical work, but the mathematical density may challenge some readers.</w:t>
      </w:r>
    </w:p>
    <w:p>
      <w:pPr>
        <w:pStyle w:val="BodyText"/>
      </w:pPr>
      <w:r>
        <w:rPr>
          <w:b/>
          <w:bCs/>
        </w:rPr>
        <w:t xml:space="preserve">Evidence:</w:t>
      </w:r>
      <w:r>
        <w:t xml:space="preserve"> </w:t>
      </w:r>
      <w:r>
        <w:t xml:space="preserve">- Journal accepts</w:t>
      </w:r>
      <w:r>
        <w:t xml:space="preserve"> </w:t>
      </w:r>
      <w:r>
        <w:t xml:space="preserve">“scholarly and theoretical approaches”</w:t>
      </w:r>
      <w:r>
        <w:t xml:space="preserve"> </w:t>
      </w:r>
      <w:r>
        <w:t xml:space="preserve">per aims and scope</w:t>
      </w:r>
      <w:r>
        <w:t xml:space="preserve"> </w:t>
      </w:r>
      <w:r>
        <w:t xml:space="preserve">- However, most published papers use qualitative, survey-based, or mixed methods</w:t>
      </w:r>
      <w:r>
        <w:t xml:space="preserve"> </w:t>
      </w:r>
      <w:r>
        <w:t xml:space="preserve">- The paper’s mathematical formalism is unusual for this venue but not disqualifying</w:t>
      </w:r>
    </w:p>
    <w:p>
      <w:pPr>
        <w:pStyle w:val="BodyText"/>
      </w:pPr>
      <w:r>
        <w:rPr>
          <w:b/>
          <w:bCs/>
        </w:rPr>
        <w:t xml:space="preserve">Mitigation:</w:t>
      </w:r>
      <w:r>
        <w:t xml:space="preserve"> </w:t>
      </w:r>
      <w:r>
        <w:t xml:space="preserve">Explanatory prose surrounds equations. The limitations section is honest about the theoretical nature.</w:t>
      </w:r>
    </w:p>
    <w:p>
      <w:r>
        <w:pict>
          <v:rect style="width:0;height:1.5pt" o:hralign="center" o:hrstd="t" o:hr="t"/>
        </w:pict>
      </w:r>
    </w:p>
    <w:bookmarkEnd w:id="10"/>
    <w:bookmarkStart w:id="11" w:name="criterion-3-audience-fit"/>
    <w:p>
      <w:pPr>
        <w:pStyle w:val="Heading2"/>
      </w:pPr>
      <w:r>
        <w:t xml:space="preserve">Criterion 3: Audience Fit</w:t>
      </w:r>
    </w:p>
    <w:p>
      <w:pPr>
        <w:pStyle w:val="FirstParagraph"/>
      </w:pPr>
      <w:r>
        <w:rPr>
          <w:b/>
          <w:bCs/>
        </w:rPr>
        <w:t xml:space="preserve">Assessment:</w:t>
      </w:r>
      <w:r>
        <w:t xml:space="preserve"> </w:t>
      </w:r>
      <w:r>
        <w:t xml:space="preserve">🟡 YELLOW</w:t>
      </w:r>
    </w:p>
    <w:p>
      <w:pPr>
        <w:pStyle w:val="BodyText"/>
      </w:pPr>
      <w:r>
        <w:t xml:space="preserve">The paper targets external auditors, regulatory bodies, governance boards, and AI system vendors. This aligns with Technology in Society’s audience of</w:t>
      </w:r>
      <w:r>
        <w:t xml:space="preserve"> </w:t>
      </w:r>
      <w:r>
        <w:t xml:space="preserve">“decision-makers”</w:t>
      </w:r>
      <w:r>
        <w:t xml:space="preserve"> </w:t>
      </w:r>
      <w:r>
        <w:t xml:space="preserve">and policy actors. However, the technical density (O(N) notation, Kingman approximations, KDE plots) may alienate some readers.</w:t>
      </w:r>
    </w:p>
    <w:p>
      <w:pPr>
        <w:pStyle w:val="BodyText"/>
      </w:pPr>
      <w:r>
        <w:rPr>
          <w:b/>
          <w:bCs/>
        </w:rPr>
        <w:t xml:space="preserve">Evidence:</w:t>
      </w:r>
      <w:r>
        <w:t xml:space="preserve"> </w:t>
      </w:r>
      <w:r>
        <w:t xml:space="preserve">- Journal aims to</w:t>
      </w:r>
      <w:r>
        <w:t xml:space="preserve"> </w:t>
      </w:r>
      <w:r>
        <w:t xml:space="preserve">“enable decision-makers to engage thoughtfully with technologies”</w:t>
      </w:r>
      <w:r>
        <w:t xml:space="preserve"> </w:t>
      </w:r>
      <w:r>
        <w:t xml:space="preserve">- The paper names specific policy actors and actionable interventions</w:t>
      </w:r>
      <w:r>
        <w:t xml:space="preserve"> </w:t>
      </w:r>
      <w:r>
        <w:t xml:space="preserve">- The SEDI index is designed for use by non-technical auditors</w:t>
      </w:r>
    </w:p>
    <w:p>
      <w:pPr>
        <w:pStyle w:val="BodyText"/>
      </w:pPr>
      <w:r>
        <w:rPr>
          <w:b/>
          <w:bCs/>
        </w:rPr>
        <w:t xml:space="preserve">Mitigation:</w:t>
      </w:r>
      <w:r>
        <w:t xml:space="preserve"> </w:t>
      </w:r>
      <w:r>
        <w:t xml:space="preserve">The cover letter and highlights emphasize policy implications over technical details.</w:t>
      </w:r>
    </w:p>
    <w:p>
      <w:r>
        <w:pict>
          <v:rect style="width:0;height:1.5pt" o:hralign="center" o:hrstd="t" o:hr="t"/>
        </w:pict>
      </w:r>
    </w:p>
    <w:bookmarkEnd w:id="11"/>
    <w:bookmarkStart w:id="12" w:name="criterion-4-novelty-fit"/>
    <w:p>
      <w:pPr>
        <w:pStyle w:val="Heading2"/>
      </w:pPr>
      <w:r>
        <w:t xml:space="preserve">Criterion 4: Novelty Fit</w:t>
      </w:r>
    </w:p>
    <w:p>
      <w:pPr>
        <w:pStyle w:val="FirstParagraph"/>
      </w:pPr>
      <w:r>
        <w:rPr>
          <w:b/>
          <w:bCs/>
        </w:rPr>
        <w:t xml:space="preserve">Assessment:</w:t>
      </w:r>
      <w:r>
        <w:t xml:space="preserve"> </w:t>
      </w:r>
      <w:r>
        <w:t xml:space="preserve">🟢 GREEN</w:t>
      </w:r>
    </w:p>
    <w:p>
      <w:pPr>
        <w:pStyle w:val="BodyText"/>
      </w:pPr>
      <w:r>
        <w:t xml:space="preserve">Oversight saturation as a structural failure mode of AI governance has not been formalized this way before. The SEDI index is a genuinely novel contribution — a computable governance observability metric from public records.</w:t>
      </w:r>
    </w:p>
    <w:p>
      <w:pPr>
        <w:pStyle w:val="BodyText"/>
      </w:pPr>
      <w:r>
        <w:rPr>
          <w:b/>
          <w:bCs/>
        </w:rPr>
        <w:t xml:space="preserve">Evidence:</w:t>
      </w:r>
      <w:r>
        <w:t xml:space="preserve"> </w:t>
      </w:r>
      <w:r>
        <w:t xml:space="preserve">- No existing paper formalizes the throughput asymmetry between AI decision generation and human review capacity</w:t>
      </w:r>
      <w:r>
        <w:t xml:space="preserve"> </w:t>
      </w:r>
      <w:r>
        <w:t xml:space="preserve">- The 2.71x saturation multiplier (from Kingman + log-normal service) is a new result for governance contexts</w:t>
      </w:r>
      <w:r>
        <w:t xml:space="preserve"> </w:t>
      </w:r>
      <w:r>
        <w:t xml:space="preserve">- SEDI operationalizes governance observability as a load-dependent variable — a novel framing</w:t>
      </w:r>
    </w:p>
    <w:p>
      <w:r>
        <w:pict>
          <v:rect style="width:0;height:1.5pt" o:hralign="center" o:hrstd="t" o:hr="t"/>
        </w:pict>
      </w:r>
    </w:p>
    <w:bookmarkEnd w:id="12"/>
    <w:bookmarkStart w:id="13" w:name="criterion-5-journal-fit-overall"/>
    <w:p>
      <w:pPr>
        <w:pStyle w:val="Heading2"/>
      </w:pPr>
      <w:r>
        <w:t xml:space="preserve">Criterion 5: Journal Fit (Overall)</w:t>
      </w:r>
    </w:p>
    <w:p>
      <w:pPr>
        <w:pStyle w:val="FirstParagraph"/>
      </w:pPr>
      <w:r>
        <w:rPr>
          <w:b/>
          <w:bCs/>
        </w:rPr>
        <w:t xml:space="preserve">Assessment:</w:t>
      </w:r>
      <w:r>
        <w:t xml:space="preserve"> </w:t>
      </w:r>
      <w:r>
        <w:t xml:space="preserve">🟢 GREEN — FIT</w:t>
      </w:r>
    </w:p>
    <w:p>
      <w:pPr>
        <w:pStyle w:val="BodyText"/>
      </w:pPr>
      <w:r>
        <w:t xml:space="preserve">The paper sits at the technology-society-governance intersection that Technology in Society cultivates. It is not a pure CS paper (the contribution is governance, not algorithms), not a pure STS paper (it includes formal modeling), and not a pure policy paper (it derives principles from mathematical analysis).</w:t>
      </w:r>
    </w:p>
    <w:p>
      <w:pPr>
        <w:pStyle w:val="BodyText"/>
      </w:pPr>
      <w:r>
        <w:rPr>
          <w:b/>
          <w:bCs/>
        </w:rPr>
        <w:t xml:space="preserve">Comparison to alternative venues: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NeurIPS/AAAI:</w:t>
      </w:r>
      <w:r>
        <w:t xml:space="preserve"> </w:t>
      </w:r>
      <w:r>
        <w:t xml:space="preserve">Too governance-focused, not enough algorithmic novelty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Social Studies of Science:</w:t>
      </w:r>
      <w:r>
        <w:t xml:space="preserve"> </w:t>
      </w:r>
      <w:r>
        <w:t xml:space="preserve">Too mathematical, not enough ethnographic/qualitative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Research Policy:</w:t>
      </w:r>
      <w:r>
        <w:t xml:space="preserve"> </w:t>
      </w:r>
      <w:r>
        <w:t xml:space="preserve">Too technical, not enough empirical policy analysis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Technology in Society:</w:t>
      </w:r>
      <w:r>
        <w:t xml:space="preserve"> </w:t>
      </w:r>
      <w:r>
        <w:t xml:space="preserve">Right interdisciplinary fit — technology mechanism + governance implications + policy actors</w:t>
      </w:r>
    </w:p>
    <w:p>
      <w:r>
        <w:pict>
          <v:rect style="width:0;height:1.5pt" o:hralign="center" o:hrstd="t" o:hr="t"/>
        </w:pict>
      </w:r>
    </w:p>
    <w:bookmarkEnd w:id="13"/>
    <w:bookmarkStart w:id="14" w:name="verdict"/>
    <w:p>
      <w:pPr>
        <w:pStyle w:val="Heading2"/>
      </w:pPr>
      <w:r>
        <w:t xml:space="preserve">Verdict</w:t>
      </w:r>
    </w:p>
    <w:p>
      <w:pPr>
        <w:pStyle w:val="FirstParagraph"/>
      </w:pPr>
      <w:r>
        <w:rPr>
          <w:b/>
          <w:bCs/>
        </w:rPr>
        <w:t xml:space="preserve">SUBMIT</w:t>
      </w:r>
      <w:r>
        <w:t xml:space="preserve"> </w:t>
      </w:r>
      <w:r>
        <w:t xml:space="preserve">— The paper fits Technology in Society’s scope. The primary risk is the mathematical density, which is mitigated by explanatory prose and honest limitations. The novelty and policy relevance are strong.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2026-06-04T14:25:00Z</dcterms:created>
  <dcterms:modified xsi:type="dcterms:W3CDTF">2026-06-04T14:25:00Z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