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Human oversight pipelines saturate 2.71x faster than memoryless audit models predict</w:t>
      </w:r>
    </w:p>
    <w:p>
      <w:pPr>
        <w:pStyle w:val="Compact"/>
        <w:numPr>
          <w:ilvl w:val="0"/>
          <w:numId w:val="1001"/>
        </w:numPr>
      </w:pPr>
      <w:r>
        <w:t xml:space="preserve">Review depth collapses non-linearly above utilization threshold rho_c = 0.60</w:t>
      </w:r>
    </w:p>
    <w:p>
      <w:pPr>
        <w:pStyle w:val="Compact"/>
        <w:numPr>
          <w:ilvl w:val="0"/>
          <w:numId w:val="1001"/>
        </w:numPr>
      </w:pPr>
      <w:r>
        <w:t xml:space="preserve">SEDI index measures governance observability from three public record streams</w:t>
      </w:r>
    </w:p>
    <w:p>
      <w:pPr>
        <w:pStyle w:val="Compact"/>
        <w:numPr>
          <w:ilvl w:val="0"/>
          <w:numId w:val="1001"/>
        </w:numPr>
      </w:pPr>
      <w:r>
        <w:t xml:space="preserve">Artifact-count compliance dashboards cannot detect oversight saturation onset</w:t>
      </w:r>
    </w:p>
    <w:p>
      <w:pPr>
        <w:pStyle w:val="Compact"/>
        <w:numPr>
          <w:ilvl w:val="0"/>
          <w:numId w:val="1001"/>
        </w:numPr>
      </w:pPr>
      <w:r>
        <w:t xml:space="preserve">Three governance-by-design principles treat oversight as a scaling constraint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2026-06-04T14:25:01Z</dcterms:created>
  <dcterms:modified xsi:type="dcterms:W3CDTF">2026-06-04T14:25:01Z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