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abe3944a82ad5447f5ee99594c261c734b7b85b"/>
    <w:p>
      <w:pPr>
        <w:pStyle w:val="Heading1"/>
      </w:pPr>
      <w:r>
        <w:t xml:space="preserve">Technology in Society — Journal Requirements</w:t>
      </w:r>
    </w:p>
    <w:p>
      <w:pPr>
        <w:pStyle w:val="FirstParagraph"/>
      </w:pPr>
      <w:r>
        <w:rPr>
          <w:b/>
          <w:bCs/>
        </w:rPr>
        <w:t xml:space="preserve">Source:</w:t>
      </w:r>
      <w:r>
        <w:t xml:space="preserve"> </w:t>
      </w:r>
      <w:r>
        <w:t xml:space="preserve">Elsevier ScienceDirect, Guide for Authors, manusights.com submission guide</w:t>
      </w:r>
      <w:r>
        <w:t xml:space="preserve"> </w:t>
      </w:r>
      <w:r>
        <w:rPr>
          <w:b/>
          <w:bCs/>
        </w:rPr>
        <w:t xml:space="preserve">Last verified:</w:t>
      </w:r>
      <w:r>
        <w:t xml:space="preserve"> </w:t>
      </w:r>
      <w:r>
        <w:t xml:space="preserve">June 4, 2026</w:t>
      </w:r>
      <w:r>
        <w:t xml:space="preserve"> </w:t>
      </w:r>
      <w:r>
        <w:rPr>
          <w:b/>
          <w:bCs/>
        </w:rPr>
        <w:t xml:space="preserve">ISSN:</w:t>
      </w:r>
      <w:r>
        <w:t xml:space="preserve"> </w:t>
      </w:r>
      <w:r>
        <w:t xml:space="preserve">0160-791X</w:t>
      </w:r>
    </w:p>
    <w:p>
      <w:r>
        <w:pict>
          <v:rect style="width:0;height:1.5pt" o:hralign="center" o:hrstd="t" o:hr="t"/>
        </w:pict>
      </w:r>
    </w:p>
    <w:bookmarkStart w:id="9" w:name="aims-and-scope"/>
    <w:p>
      <w:pPr>
        <w:pStyle w:val="Heading2"/>
      </w:pPr>
      <w:r>
        <w:t xml:space="preserve">Aims and Scope</w:t>
      </w:r>
    </w:p>
    <w:p>
      <w:pPr>
        <w:pStyle w:val="FirstParagraph"/>
      </w:pPr>
      <w:r>
        <w:t xml:space="preserve">Technology in Society is an international journal devoted to the global discourse at the intersection of technological change and social, economic, business, and philosophical transformation. It publishes scholarship that enables decision-makers to engage thoughtfully with technologies.</w:t>
      </w:r>
    </w:p>
    <w:p>
      <w:pPr>
        <w:pStyle w:val="BodyText"/>
      </w:pPr>
      <w:r>
        <w:rPr>
          <w:b/>
          <w:bCs/>
        </w:rPr>
        <w:t xml:space="preserve">Approaches accepted:</w:t>
      </w:r>
      <w:r>
        <w:t xml:space="preserve"> </w:t>
      </w:r>
      <w:r>
        <w:t xml:space="preserve">- Scholarly/theoretical (history and philosophy of S&amp;T, technology forecasting, economic growth, policy, ethics)</w:t>
      </w:r>
      <w:r>
        <w:t xml:space="preserve"> </w:t>
      </w:r>
      <w:r>
        <w:t xml:space="preserve">- Applied (business innovation, technology management, legal, engineering)</w:t>
      </w:r>
      <w:r>
        <w:t xml:space="preserve"> </w:t>
      </w:r>
      <w:r>
        <w:t xml:space="preserve">- Development perspectives</w:t>
      </w:r>
    </w:p>
    <w:p>
      <w:pPr>
        <w:pStyle w:val="BodyText"/>
      </w:pPr>
      <w:r>
        <w:rPr>
          <w:b/>
          <w:bCs/>
        </w:rPr>
        <w:t xml:space="preserve">Recent research directions:</w:t>
      </w:r>
      <w:r>
        <w:t xml:space="preserve"> </w:t>
      </w:r>
      <w:r>
        <w:t xml:space="preserve">- AI ethics and AI governance</w:t>
      </w:r>
      <w:r>
        <w:t xml:space="preserve"> </w:t>
      </w:r>
      <w:r>
        <w:t xml:space="preserve">- Algorithmic accountability and fairness</w:t>
      </w:r>
      <w:r>
        <w:t xml:space="preserve"> </w:t>
      </w:r>
      <w:r>
        <w:t xml:space="preserve">- Digital divides and inclusion</w:t>
      </w:r>
      <w:r>
        <w:t xml:space="preserve"> </w:t>
      </w:r>
      <w:r>
        <w:t xml:space="preserve">- Technology and democracy / civic participation</w:t>
      </w:r>
      <w:r>
        <w:t xml:space="preserve"> </w:t>
      </w:r>
      <w:r>
        <w:t xml:space="preserve">- Emerging technologies (AI, biotech, quantum) and society</w:t>
      </w:r>
      <w:r>
        <w:t xml:space="preserve"> </w:t>
      </w:r>
      <w:r>
        <w:t xml:space="preserve">- Technology adoption and acceptance</w:t>
      </w:r>
      <w:r>
        <w:t xml:space="preserve"> </w:t>
      </w:r>
      <w:r>
        <w:t xml:space="preserve">- Privacy and surveillance</w:t>
      </w:r>
      <w:r>
        <w:t xml:space="preserve"> </w:t>
      </w:r>
      <w:r>
        <w:t xml:space="preserve">- Technology and labor / future of work</w:t>
      </w:r>
      <w:r>
        <w:t xml:space="preserve"> </w:t>
      </w:r>
      <w:r>
        <w:t xml:space="preserve">- Technology and sustainability transitions</w:t>
      </w:r>
    </w:p>
    <w:p>
      <w:pPr>
        <w:pStyle w:val="BodyText"/>
      </w:pPr>
      <w:r>
        <w:rPr>
          <w:b/>
          <w:bCs/>
        </w:rPr>
        <w:t xml:space="preserve">Source:</w:t>
      </w:r>
      <w:r>
        <w:t xml:space="preserve"> </w:t>
      </w:r>
      <w:r>
        <w:t xml:space="preserve">https://www.sciencedirect.com/journal/technology-in-society</w:t>
      </w:r>
    </w:p>
    <w:p>
      <w:r>
        <w:pict>
          <v:rect style="width:0;height:1.5pt" o:hralign="center" o:hrstd="t" o:hr="t"/>
        </w:pict>
      </w:r>
    </w:p>
    <w:bookmarkEnd w:id="9"/>
    <w:bookmarkStart w:id="10" w:name="article-types"/>
    <w:p>
      <w:pPr>
        <w:pStyle w:val="Heading2"/>
      </w:pPr>
      <w:r>
        <w:t xml:space="preserve">Article Types</w:t>
      </w:r>
    </w:p>
    <w:p>
      <w:pPr>
        <w:pStyle w:val="Compact"/>
        <w:numPr>
          <w:ilvl w:val="0"/>
          <w:numId w:val="1001"/>
        </w:numPr>
      </w:pPr>
      <w:r>
        <w:rPr>
          <w:b/>
          <w:bCs/>
        </w:rPr>
        <w:t xml:space="preserve">Research Article</w:t>
      </w:r>
      <w:r>
        <w:t xml:space="preserve"> </w:t>
      </w:r>
      <w:r>
        <w:t xml:space="preserve">(unsolicited, full-length)</w:t>
      </w:r>
    </w:p>
    <w:p>
      <w:pPr>
        <w:pStyle w:val="Compact"/>
        <w:numPr>
          <w:ilvl w:val="0"/>
          <w:numId w:val="1001"/>
        </w:numPr>
      </w:pPr>
      <w:r>
        <w:rPr>
          <w:b/>
          <w:bCs/>
        </w:rPr>
        <w:t xml:space="preserve">Review Article</w:t>
      </w:r>
    </w:p>
    <w:p>
      <w:pPr>
        <w:pStyle w:val="Compact"/>
        <w:numPr>
          <w:ilvl w:val="0"/>
          <w:numId w:val="1001"/>
        </w:numPr>
      </w:pPr>
      <w:r>
        <w:rPr>
          <w:b/>
          <w:bCs/>
        </w:rPr>
        <w:t xml:space="preserve">Short Communication</w:t>
      </w:r>
    </w:p>
    <w:p>
      <w:pPr>
        <w:pStyle w:val="Compact"/>
        <w:numPr>
          <w:ilvl w:val="0"/>
          <w:numId w:val="1001"/>
        </w:numPr>
      </w:pPr>
      <w:r>
        <w:rPr>
          <w:b/>
          <w:bCs/>
        </w:rPr>
        <w:t xml:space="preserve">Special Issue articles</w:t>
      </w:r>
      <w:r>
        <w:t xml:space="preserve"> </w:t>
      </w:r>
      <w:r>
        <w:t xml:space="preserve">(by invitation)</w:t>
      </w:r>
    </w:p>
    <w:p>
      <w:pPr>
        <w:pStyle w:val="FirstParagraph"/>
      </w:pPr>
      <w:r>
        <w:t xml:space="preserve">No explicit word limit published, but standard Elsevier research articles typically run 6,000–8,000 words.</w:t>
      </w:r>
    </w:p>
    <w:p>
      <w:r>
        <w:pict>
          <v:rect style="width:0;height:1.5pt" o:hralign="center" o:hrstd="t" o:hr="t"/>
        </w:pict>
      </w:r>
    </w:p>
    <w:bookmarkEnd w:id="10"/>
    <w:bookmarkStart w:id="11" w:name="formatting-requirements"/>
    <w:p>
      <w:pPr>
        <w:pStyle w:val="Heading2"/>
      </w:pPr>
      <w:r>
        <w:t xml:space="preserve">Formatting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Requirement</w:t>
            </w:r>
          </w:p>
        </w:tc>
      </w:tr>
      <w:tr>
        <w:tc>
          <w:tcPr/>
          <w:p>
            <w:pPr>
              <w:pStyle w:val="Compact"/>
            </w:pPr>
            <w:r>
              <w:t xml:space="preserve">File format</w:t>
            </w:r>
          </w:p>
        </w:tc>
        <w:tc>
          <w:tcPr/>
          <w:p>
            <w:pPr>
              <w:pStyle w:val="Compact"/>
            </w:pPr>
            <w:r>
              <w:t xml:space="preserve">.docx (single-column) or .tex (double-column allowed for LaTeX)</w:t>
            </w:r>
          </w:p>
        </w:tc>
      </w:tr>
      <w:tr>
        <w:tc>
          <w:tcPr/>
          <w:p>
            <w:pPr>
              <w:pStyle w:val="Compact"/>
            </w:pPr>
            <w:r>
              <w:t xml:space="preserve">PDF-only submissions</w:t>
            </w:r>
          </w:p>
        </w:tc>
        <w:tc>
          <w:tcPr/>
          <w:p>
            <w:pPr>
              <w:pStyle w:val="Compact"/>
            </w:pPr>
            <w:r>
              <w:rPr>
                <w:b/>
                <w:bCs/>
              </w:rPr>
              <w:t xml:space="preserve">Rejected</w:t>
            </w:r>
            <w:r>
              <w:t xml:space="preserve"> </w:t>
            </w:r>
            <w:r>
              <w:t xml:space="preserve">— must provide editable source</w:t>
            </w:r>
          </w:p>
        </w:tc>
      </w:tr>
      <w:tr>
        <w:tc>
          <w:tcPr/>
          <w:p>
            <w:pPr>
              <w:pStyle w:val="Compact"/>
            </w:pPr>
            <w:r>
              <w:t xml:space="preserve">Strikethrough/underlined text</w:t>
            </w:r>
          </w:p>
        </w:tc>
        <w:tc>
          <w:tcPr/>
          <w:p>
            <w:pPr>
              <w:pStyle w:val="Compact"/>
            </w:pPr>
            <w:r>
              <w:t xml:space="preserve">Remove unless scientifically significant</w:t>
            </w:r>
          </w:p>
        </w:tc>
      </w:tr>
      <w:tr>
        <w:tc>
          <w:tcPr/>
          <w:p>
            <w:pPr>
              <w:pStyle w:val="Compact"/>
            </w:pPr>
            <w:r>
              <w:t xml:space="preserve">Line numbers</w:t>
            </w:r>
          </w:p>
        </w:tc>
        <w:tc>
          <w:tcPr/>
          <w:p>
            <w:pPr>
              <w:pStyle w:val="Compact"/>
            </w:pPr>
            <w:r>
              <w:t xml:space="preserve">Required for review</w:t>
            </w:r>
          </w:p>
        </w:tc>
      </w:tr>
      <w:tr>
        <w:tc>
          <w:tcPr/>
          <w:p>
            <w:pPr>
              <w:pStyle w:val="Compact"/>
            </w:pPr>
            <w:r>
              <w:t xml:space="preserve">Page numbers</w:t>
            </w:r>
          </w:p>
        </w:tc>
        <w:tc>
          <w:tcPr/>
          <w:p>
            <w:pPr>
              <w:pStyle w:val="Compact"/>
            </w:pPr>
            <w:r>
              <w:t xml:space="preserve">Optional</w:t>
            </w:r>
          </w:p>
        </w:tc>
      </w:tr>
      <w:tr>
        <w:tc>
          <w:tcPr/>
          <w:p>
            <w:pPr>
              <w:pStyle w:val="Compact"/>
            </w:pPr>
            <w:r>
              <w:t xml:space="preserve">Running head</w:t>
            </w:r>
          </w:p>
        </w:tc>
        <w:tc>
          <w:tcPr/>
          <w:p>
            <w:pPr>
              <w:pStyle w:val="Compact"/>
            </w:pPr>
            <w:r>
              <w:t xml:space="preserve">Optional</w:t>
            </w:r>
          </w:p>
        </w:tc>
      </w:tr>
      <w:tr>
        <w:tc>
          <w:tcPr/>
          <w:p>
            <w:pPr>
              <w:pStyle w:val="Compact"/>
            </w:pPr>
            <w:r>
              <w:t xml:space="preserve">Font</w:t>
            </w:r>
          </w:p>
        </w:tc>
        <w:tc>
          <w:tcPr/>
          <w:p>
            <w:pPr>
              <w:pStyle w:val="Compact"/>
            </w:pPr>
            <w:r>
              <w:t xml:space="preserve">12pt, serif (Times New Roman or similar)</w:t>
            </w:r>
          </w:p>
        </w:tc>
      </w:tr>
      <w:tr>
        <w:tc>
          <w:tcPr/>
          <w:p>
            <w:pPr>
              <w:pStyle w:val="Compact"/>
            </w:pPr>
            <w:r>
              <w:t xml:space="preserve">Margins</w:t>
            </w:r>
          </w:p>
        </w:tc>
        <w:tc>
          <w:tcPr/>
          <w:p>
            <w:pPr>
              <w:pStyle w:val="Compact"/>
            </w:pPr>
            <w:r>
              <w:t xml:space="preserve">2.5 cm (1 inch) standard</w:t>
            </w:r>
          </w:p>
        </w:tc>
      </w:tr>
    </w:tbl>
    <w:p>
      <w:r>
        <w:pict>
          <v:rect style="width:0;height:1.5pt" o:hralign="center" o:hrstd="t" o:hr="t"/>
        </w:pict>
      </w:r>
    </w:p>
    <w:bookmarkEnd w:id="11"/>
    <w:bookmarkStart w:id="12" w:name="manuscript-structure"/>
    <w:p>
      <w:pPr>
        <w:pStyle w:val="Heading2"/>
      </w:pPr>
      <w:r>
        <w:t xml:space="preserve">Manuscript Structure</w:t>
      </w:r>
    </w:p>
    <w:p>
      <w:pPr>
        <w:pStyle w:val="Compact"/>
        <w:numPr>
          <w:ilvl w:val="0"/>
          <w:numId w:val="1002"/>
        </w:numPr>
      </w:pPr>
      <w:r>
        <w:rPr>
          <w:b/>
          <w:bCs/>
        </w:rPr>
        <w:t xml:space="preserve">Title page</w:t>
      </w:r>
      <w:r>
        <w:t xml:space="preserve"> </w:t>
      </w:r>
      <w:r>
        <w:t xml:space="preserve">— title, author names, affiliations, corresponding author email, ORCID</w:t>
      </w:r>
    </w:p>
    <w:p>
      <w:pPr>
        <w:pStyle w:val="Compact"/>
        <w:numPr>
          <w:ilvl w:val="0"/>
          <w:numId w:val="1002"/>
        </w:numPr>
      </w:pPr>
      <w:r>
        <w:rPr>
          <w:b/>
          <w:bCs/>
        </w:rPr>
        <w:t xml:space="preserve">Structured abstract</w:t>
      </w:r>
      <w:r>
        <w:t xml:space="preserve"> </w:t>
      </w:r>
      <w:r>
        <w:t xml:space="preserve">— Background, Methods, Results, Conclusions (Elsevier convention)</w:t>
      </w:r>
    </w:p>
    <w:p>
      <w:pPr>
        <w:pStyle w:val="Compact"/>
        <w:numPr>
          <w:ilvl w:val="0"/>
          <w:numId w:val="1002"/>
        </w:numPr>
      </w:pPr>
      <w:r>
        <w:rPr>
          <w:b/>
          <w:bCs/>
        </w:rPr>
        <w:t xml:space="preserve">Keywords</w:t>
      </w:r>
      <w:r>
        <w:t xml:space="preserve"> </w:t>
      </w:r>
      <w:r>
        <w:t xml:space="preserve">— 6–10 keywords</w:t>
      </w:r>
    </w:p>
    <w:p>
      <w:pPr>
        <w:pStyle w:val="Compact"/>
        <w:numPr>
          <w:ilvl w:val="0"/>
          <w:numId w:val="1002"/>
        </w:numPr>
      </w:pPr>
      <w:r>
        <w:rPr>
          <w:b/>
          <w:bCs/>
        </w:rPr>
        <w:t xml:space="preserve">Main text</w:t>
      </w:r>
      <w:r>
        <w:t xml:space="preserve"> </w:t>
      </w:r>
      <w:r>
        <w:t xml:space="preserve">— Introduction, Methods, Results, Discussion, Conclusion</w:t>
      </w:r>
    </w:p>
    <w:p>
      <w:pPr>
        <w:pStyle w:val="Compact"/>
        <w:numPr>
          <w:ilvl w:val="0"/>
          <w:numId w:val="1002"/>
        </w:numPr>
      </w:pPr>
      <w:r>
        <w:rPr>
          <w:b/>
          <w:bCs/>
        </w:rPr>
        <w:t xml:space="preserve">Declarations</w:t>
      </w:r>
      <w:r>
        <w:t xml:space="preserve"> </w:t>
      </w:r>
      <w:r>
        <w:t xml:space="preserve">(see below)</w:t>
      </w:r>
    </w:p>
    <w:p>
      <w:pPr>
        <w:pStyle w:val="Compact"/>
        <w:numPr>
          <w:ilvl w:val="0"/>
          <w:numId w:val="1002"/>
        </w:numPr>
      </w:pPr>
      <w:r>
        <w:rPr>
          <w:b/>
          <w:bCs/>
        </w:rPr>
        <w:t xml:space="preserve">References</w:t>
      </w:r>
      <w:r>
        <w:t xml:space="preserve"> </w:t>
      </w:r>
      <w:r>
        <w:t xml:space="preserve">— Elsevier numbered format [1], [2,3]</w:t>
      </w:r>
    </w:p>
    <w:p>
      <w:pPr>
        <w:pStyle w:val="Compact"/>
        <w:numPr>
          <w:ilvl w:val="0"/>
          <w:numId w:val="1002"/>
        </w:numPr>
      </w:pPr>
      <w:r>
        <w:rPr>
          <w:b/>
          <w:bCs/>
        </w:rPr>
        <w:t xml:space="preserve">Figures</w:t>
      </w:r>
      <w:r>
        <w:t xml:space="preserve"> </w:t>
      </w:r>
      <w:r>
        <w:t xml:space="preserve">— embedded or separate, .pdf/.tiff/.jpg, 300+ dpi</w:t>
      </w:r>
    </w:p>
    <w:p>
      <w:pPr>
        <w:pStyle w:val="Compact"/>
        <w:numPr>
          <w:ilvl w:val="0"/>
          <w:numId w:val="1002"/>
        </w:numPr>
      </w:pPr>
      <w:r>
        <w:rPr>
          <w:b/>
          <w:bCs/>
        </w:rPr>
        <w:t xml:space="preserve">Tables</w:t>
      </w:r>
      <w:r>
        <w:t xml:space="preserve"> </w:t>
      </w:r>
      <w:r>
        <w:t xml:space="preserve">— editable, not images</w:t>
      </w:r>
    </w:p>
    <w:p>
      <w:r>
        <w:pict>
          <v:rect style="width:0;height:1.5pt" o:hralign="center" o:hrstd="t" o:hr="t"/>
        </w:pict>
      </w:r>
    </w:p>
    <w:bookmarkEnd w:id="12"/>
    <w:bookmarkStart w:id="13" w:name="reference-style"/>
    <w:p>
      <w:pPr>
        <w:pStyle w:val="Heading2"/>
      </w:pPr>
      <w:r>
        <w:t xml:space="preserve">Reference Style</w:t>
      </w:r>
    </w:p>
    <w:p>
      <w:pPr>
        <w:pStyle w:val="Compact"/>
        <w:numPr>
          <w:ilvl w:val="0"/>
          <w:numId w:val="1003"/>
        </w:numPr>
      </w:pPr>
      <w:r>
        <w:rPr>
          <w:b/>
          <w:bCs/>
        </w:rPr>
        <w:t xml:space="preserve">Numbered citations</w:t>
      </w:r>
      <w:r>
        <w:t xml:space="preserve"> </w:t>
      </w:r>
      <w:r>
        <w:t xml:space="preserve">in square brackets: [1], [2,3], [4–7]</w:t>
      </w:r>
    </w:p>
    <w:p>
      <w:pPr>
        <w:pStyle w:val="Compact"/>
        <w:numPr>
          <w:ilvl w:val="0"/>
          <w:numId w:val="1003"/>
        </w:numPr>
      </w:pPr>
      <w:r>
        <w:t xml:space="preserve">Numbered sequentially in order of first appearance</w:t>
      </w:r>
    </w:p>
    <w:p>
      <w:pPr>
        <w:pStyle w:val="Compact"/>
        <w:numPr>
          <w:ilvl w:val="0"/>
          <w:numId w:val="1003"/>
        </w:numPr>
      </w:pPr>
      <w:r>
        <w:t xml:space="preserve">Reference list at end, numbered</w:t>
      </w:r>
    </w:p>
    <w:p>
      <w:pPr>
        <w:pStyle w:val="Compact"/>
        <w:numPr>
          <w:ilvl w:val="0"/>
          <w:numId w:val="1003"/>
        </w:numPr>
      </w:pPr>
      <w:r>
        <w:t xml:space="preserve">Format: Author names, article title, journal name, volume (issue) (year) pages. DOI URL</w:t>
      </w:r>
    </w:p>
    <w:p>
      <w:pPr>
        <w:pStyle w:val="FirstParagraph"/>
      </w:pPr>
      <w:r>
        <w:rPr>
          <w:b/>
          <w:bCs/>
        </w:rPr>
        <w:t xml:space="preserve">Source:</w:t>
      </w:r>
      <w:r>
        <w:t xml:space="preserve"> </w:t>
      </w:r>
      <w:r>
        <w:t xml:space="preserve">Elsevier numbered reference style (standard across most Elsevier journals)</w:t>
      </w:r>
    </w:p>
    <w:p>
      <w:r>
        <w:pict>
          <v:rect style="width:0;height:1.5pt" o:hralign="center" o:hrstd="t" o:hr="t"/>
        </w:pict>
      </w:r>
    </w:p>
    <w:bookmarkEnd w:id="13"/>
    <w:bookmarkStart w:id="14" w:name="figure-and-table-requirements"/>
    <w:p>
      <w:pPr>
        <w:pStyle w:val="Heading2"/>
      </w:pPr>
      <w:r>
        <w:t xml:space="preserve">Figure and Table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Requirement</w:t>
            </w:r>
          </w:p>
        </w:tc>
      </w:tr>
      <w:tr>
        <w:tc>
          <w:tcPr/>
          <w:p>
            <w:pPr>
              <w:pStyle w:val="Compact"/>
            </w:pPr>
            <w:r>
              <w:t xml:space="preserve">Figure resolution</w:t>
            </w:r>
          </w:p>
        </w:tc>
        <w:tc>
          <w:tcPr/>
          <w:p>
            <w:pPr>
              <w:pStyle w:val="Compact"/>
            </w:pPr>
            <w:r>
              <w:t xml:space="preserve">300+ dpi</w:t>
            </w:r>
          </w:p>
        </w:tc>
      </w:tr>
      <w:tr>
        <w:tc>
          <w:tcPr/>
          <w:p>
            <w:pPr>
              <w:pStyle w:val="Compact"/>
            </w:pPr>
            <w:r>
              <w:t xml:space="preserve">Figure formats</w:t>
            </w:r>
          </w:p>
        </w:tc>
        <w:tc>
          <w:tcPr/>
          <w:p>
            <w:pPr>
              <w:pStyle w:val="Compact"/>
            </w:pPr>
            <w:r>
              <w:t xml:space="preserve">.pdf (preferred), .tiff, .jpg</w:t>
            </w:r>
          </w:p>
        </w:tc>
      </w:tr>
      <w:tr>
        <w:tc>
          <w:tcPr/>
          <w:p>
            <w:pPr>
              <w:pStyle w:val="Compact"/>
            </w:pPr>
            <w:r>
              <w:t xml:space="preserve">Figure numbering</w:t>
            </w:r>
          </w:p>
        </w:tc>
        <w:tc>
          <w:tcPr/>
          <w:p>
            <w:pPr>
              <w:pStyle w:val="Compact"/>
            </w:pPr>
            <w:r>
              <w:t xml:space="preserve">Sequential (Fig. 1, Fig. 2…)</w:t>
            </w:r>
          </w:p>
        </w:tc>
      </w:tr>
      <w:tr>
        <w:tc>
          <w:tcPr/>
          <w:p>
            <w:pPr>
              <w:pStyle w:val="Compact"/>
            </w:pPr>
            <w:r>
              <w:t xml:space="preserve">Figure captions</w:t>
            </w:r>
          </w:p>
        </w:tc>
        <w:tc>
          <w:tcPr/>
          <w:p>
            <w:pPr>
              <w:pStyle w:val="Compact"/>
            </w:pPr>
            <w:r>
              <w:t xml:space="preserve">Below figure, descriptive</w:t>
            </w:r>
          </w:p>
        </w:tc>
      </w:tr>
      <w:tr>
        <w:tc>
          <w:tcPr/>
          <w:p>
            <w:pPr>
              <w:pStyle w:val="Compact"/>
            </w:pPr>
            <w:r>
              <w:t xml:space="preserve">Table format</w:t>
            </w:r>
          </w:p>
        </w:tc>
        <w:tc>
          <w:tcPr/>
          <w:p>
            <w:pPr>
              <w:pStyle w:val="Compact"/>
            </w:pPr>
            <w:r>
              <w:t xml:space="preserve">Editable text (not images)</w:t>
            </w:r>
          </w:p>
        </w:tc>
      </w:tr>
      <w:tr>
        <w:tc>
          <w:tcPr/>
          <w:p>
            <w:pPr>
              <w:pStyle w:val="Compact"/>
            </w:pPr>
            <w:r>
              <w:t xml:space="preserve">Table numbering</w:t>
            </w:r>
          </w:p>
        </w:tc>
        <w:tc>
          <w:tcPr/>
          <w:p>
            <w:pPr>
              <w:pStyle w:val="Compact"/>
            </w:pPr>
            <w:r>
              <w:t xml:space="preserve">Sequential (Table 1, Table 2…)</w:t>
            </w:r>
          </w:p>
        </w:tc>
      </w:tr>
      <w:tr>
        <w:tc>
          <w:tcPr/>
          <w:p>
            <w:pPr>
              <w:pStyle w:val="Compact"/>
            </w:pPr>
            <w:r>
              <w:t xml:space="preserve">Color</w:t>
            </w:r>
          </w:p>
        </w:tc>
        <w:tc>
          <w:tcPr/>
          <w:p>
            <w:pPr>
              <w:pStyle w:val="Compact"/>
            </w:pPr>
            <w:r>
              <w:t xml:space="preserve">Allowed; no extra charge for online</w:t>
            </w:r>
          </w:p>
        </w:tc>
      </w:tr>
    </w:tbl>
    <w:p>
      <w:r>
        <w:pict>
          <v:rect style="width:0;height:1.5pt" o:hralign="center" o:hrstd="t" o:hr="t"/>
        </w:pict>
      </w:r>
    </w:p>
    <w:bookmarkEnd w:id="14"/>
    <w:bookmarkStart w:id="15" w:name="required-declarations"/>
    <w:p>
      <w:pPr>
        <w:pStyle w:val="Heading2"/>
      </w:pPr>
      <w:r>
        <w:t xml:space="preserve">Required Declarations</w:t>
      </w:r>
    </w:p>
    <w:p>
      <w:pPr>
        <w:pStyle w:val="FirstParagraph"/>
      </w:pPr>
      <w:r>
        <w:t xml:space="preserve">All of the following are</w:t>
      </w:r>
      <w:r>
        <w:t xml:space="preserve"> </w:t>
      </w:r>
      <w:r>
        <w:rPr>
          <w:b/>
          <w:bCs/>
        </w:rPr>
        <w:t xml:space="preserve">mandatory</w:t>
      </w:r>
      <w:r>
        <w:t xml:space="preserve"> </w:t>
      </w:r>
      <w:r>
        <w:t xml:space="preserve">at submission:</w:t>
      </w:r>
    </w:p>
    <w:p>
      <w:pPr>
        <w:pStyle w:val="Compact"/>
        <w:numPr>
          <w:ilvl w:val="0"/>
          <w:numId w:val="1004"/>
        </w:numPr>
      </w:pPr>
      <w:r>
        <w:rPr>
          <w:b/>
          <w:bCs/>
        </w:rPr>
        <w:t xml:space="preserve">Declaration of Generative AI use</w:t>
      </w:r>
      <w:r>
        <w:t xml:space="preserve"> </w:t>
      </w:r>
      <w:r>
        <w:t xml:space="preserve">— per Elsevier policy, must disclose any AI tool use in writing process</w:t>
      </w:r>
    </w:p>
    <w:p>
      <w:pPr>
        <w:pStyle w:val="Compact"/>
        <w:numPr>
          <w:ilvl w:val="0"/>
          <w:numId w:val="1004"/>
        </w:numPr>
      </w:pPr>
      <w:r>
        <w:rPr>
          <w:b/>
          <w:bCs/>
        </w:rPr>
        <w:t xml:space="preserve">Ethics Statement</w:t>
      </w:r>
      <w:r>
        <w:t xml:space="preserve"> </w:t>
      </w:r>
      <w:r>
        <w:t xml:space="preserve">— required even if no human subjects (state that no human subjects were involved)</w:t>
      </w:r>
    </w:p>
    <w:p>
      <w:pPr>
        <w:pStyle w:val="Compact"/>
        <w:numPr>
          <w:ilvl w:val="0"/>
          <w:numId w:val="1004"/>
        </w:numPr>
      </w:pPr>
      <w:r>
        <w:rPr>
          <w:b/>
          <w:bCs/>
        </w:rPr>
        <w:t xml:space="preserve">Data Availability Statement</w:t>
      </w:r>
      <w:r>
        <w:t xml:space="preserve"> </w:t>
      </w:r>
      <w:r>
        <w:t xml:space="preserve">— where data/code can be accessed</w:t>
      </w:r>
    </w:p>
    <w:p>
      <w:pPr>
        <w:pStyle w:val="Compact"/>
        <w:numPr>
          <w:ilvl w:val="0"/>
          <w:numId w:val="1004"/>
        </w:numPr>
      </w:pPr>
      <w:r>
        <w:rPr>
          <w:b/>
          <w:bCs/>
        </w:rPr>
        <w:t xml:space="preserve">CRediT Author Statement</w:t>
      </w:r>
      <w:r>
        <w:t xml:space="preserve"> </w:t>
      </w:r>
      <w:r>
        <w:t xml:space="preserve">— contributor roles for all authors</w:t>
      </w:r>
    </w:p>
    <w:p>
      <w:pPr>
        <w:pStyle w:val="Compact"/>
        <w:numPr>
          <w:ilvl w:val="0"/>
          <w:numId w:val="1004"/>
        </w:numPr>
      </w:pPr>
      <w:r>
        <w:rPr>
          <w:b/>
          <w:bCs/>
        </w:rPr>
        <w:t xml:space="preserve">Declaration of Competing Interests</w:t>
      </w:r>
      <w:r>
        <w:t xml:space="preserve"> </w:t>
      </w:r>
      <w:r>
        <w:t xml:space="preserve">— financial or personal</w:t>
      </w:r>
    </w:p>
    <w:p>
      <w:pPr>
        <w:pStyle w:val="Compact"/>
        <w:numPr>
          <w:ilvl w:val="0"/>
          <w:numId w:val="1004"/>
        </w:numPr>
      </w:pPr>
      <w:r>
        <w:rPr>
          <w:b/>
          <w:bCs/>
        </w:rPr>
        <w:t xml:space="preserve">Acknowledgments</w:t>
      </w:r>
      <w:r>
        <w:t xml:space="preserve"> </w:t>
      </w:r>
      <w:r>
        <w:t xml:space="preserve">— funding, assistance (optional but expected)</w:t>
      </w:r>
    </w:p>
    <w:p>
      <w:pPr>
        <w:pStyle w:val="Compact"/>
        <w:numPr>
          <w:ilvl w:val="0"/>
          <w:numId w:val="1004"/>
        </w:numPr>
      </w:pPr>
      <w:r>
        <w:rPr>
          <w:b/>
          <w:bCs/>
        </w:rPr>
        <w:t xml:space="preserve">Funding</w:t>
      </w:r>
      <w:r>
        <w:t xml:space="preserve"> </w:t>
      </w:r>
      <w:r>
        <w:t xml:space="preserve">— if applicable</w:t>
      </w:r>
    </w:p>
    <w:p>
      <w:r>
        <w:pict>
          <v:rect style="width:0;height:1.5pt" o:hralign="center" o:hrstd="t" o:hr="t"/>
        </w:pict>
      </w:r>
    </w:p>
    <w:bookmarkEnd w:id="15"/>
    <w:bookmarkStart w:id="16" w:name="X7b8a8c70cf718984360cb3c3ee2d1f931c7ed18"/>
    <w:p>
      <w:pPr>
        <w:pStyle w:val="Heading2"/>
      </w:pPr>
      <w:r>
        <w:t xml:space="preserve">AI Disclosure Requirements (Elsevier Policy)</w:t>
      </w:r>
    </w:p>
    <w:p>
      <w:pPr>
        <w:pStyle w:val="FirstParagraph"/>
      </w:pPr>
      <w:r>
        <w:t xml:space="preserve">Per Elsevier policy (effective 2023, updated 2025):</w:t>
      </w:r>
    </w:p>
    <w:p>
      <w:pPr>
        <w:pStyle w:val="Compact"/>
        <w:numPr>
          <w:ilvl w:val="0"/>
          <w:numId w:val="1005"/>
        </w:numPr>
      </w:pPr>
      <w:r>
        <w:t xml:space="preserve">AI tools may be used for language editing, formatting, reference management</w:t>
      </w:r>
    </w:p>
    <w:p>
      <w:pPr>
        <w:pStyle w:val="Compact"/>
        <w:numPr>
          <w:ilvl w:val="0"/>
          <w:numId w:val="1005"/>
        </w:numPr>
      </w:pPr>
      <w:r>
        <w:t xml:space="preserve">AI tools</w:t>
      </w:r>
      <w:r>
        <w:t xml:space="preserve"> </w:t>
      </w:r>
      <w:r>
        <w:rPr>
          <w:b/>
          <w:bCs/>
        </w:rPr>
        <w:t xml:space="preserve">must not</w:t>
      </w:r>
      <w:r>
        <w:t xml:space="preserve"> </w:t>
      </w:r>
      <w:r>
        <w:t xml:space="preserve">substitute for human critical thinking, analysis, or interpretation</w:t>
      </w:r>
    </w:p>
    <w:p>
      <w:pPr>
        <w:pStyle w:val="Compact"/>
        <w:numPr>
          <w:ilvl w:val="0"/>
          <w:numId w:val="1005"/>
        </w:numPr>
      </w:pPr>
      <w:r>
        <w:t xml:space="preserve">AI tools</w:t>
      </w:r>
      <w:r>
        <w:t xml:space="preserve"> </w:t>
      </w:r>
      <w:r>
        <w:rPr>
          <w:b/>
          <w:bCs/>
        </w:rPr>
        <w:t xml:space="preserve">cannot</w:t>
      </w:r>
      <w:r>
        <w:t xml:space="preserve"> </w:t>
      </w:r>
      <w:r>
        <w:t xml:space="preserve">be listed as authors</w:t>
      </w:r>
    </w:p>
    <w:p>
      <w:pPr>
        <w:pStyle w:val="Compact"/>
        <w:numPr>
          <w:ilvl w:val="0"/>
          <w:numId w:val="1005"/>
        </w:numPr>
      </w:pPr>
      <w:r>
        <w:t xml:space="preserve">Disclosure statement</w:t>
      </w:r>
      <w:r>
        <w:t xml:space="preserve"> </w:t>
      </w:r>
      <w:r>
        <w:rPr>
          <w:b/>
          <w:bCs/>
        </w:rPr>
        <w:t xml:space="preserve">must</w:t>
      </w:r>
      <w:r>
        <w:t xml:space="preserve"> </w:t>
      </w:r>
      <w:r>
        <w:t xml:space="preserve">appear in the manuscript (typically before references)</w:t>
      </w:r>
    </w:p>
    <w:p>
      <w:pPr>
        <w:pStyle w:val="Compact"/>
        <w:numPr>
          <w:ilvl w:val="0"/>
          <w:numId w:val="1005"/>
        </w:numPr>
      </w:pPr>
      <w:r>
        <w:t xml:space="preserve">Statement should name the tool, describe how it was used, and confirm author reviewed all AI-assisted content</w:t>
      </w:r>
    </w:p>
    <w:p>
      <w:pPr>
        <w:pStyle w:val="Compact"/>
        <w:numPr>
          <w:ilvl w:val="0"/>
          <w:numId w:val="1005"/>
        </w:numPr>
      </w:pPr>
      <w:r>
        <w:t xml:space="preserve">Authors bear full responsibility for all content</w:t>
      </w:r>
    </w:p>
    <w:p>
      <w:pPr>
        <w:pStyle w:val="FirstParagraph"/>
      </w:pPr>
      <w:r>
        <w:rPr>
          <w:b/>
          <w:bCs/>
        </w:rPr>
        <w:t xml:space="preserve">Source:</w:t>
      </w:r>
      <w:r>
        <w:t xml:space="preserve"> </w:t>
      </w:r>
      <w:r>
        <w:t xml:space="preserve">https://www.elsevier.com/about/policies-and-standards/the-use-of-generative-ai-and-ai-assisted-technologies-in-writing-for-elsevier</w:t>
      </w:r>
    </w:p>
    <w:p>
      <w:r>
        <w:pict>
          <v:rect style="width:0;height:1.5pt" o:hralign="center" o:hrstd="t" o:hr="t"/>
        </w:pict>
      </w:r>
    </w:p>
    <w:bookmarkEnd w:id="16"/>
    <w:bookmarkStart w:id="17" w:name="cover-letter-expectations"/>
    <w:p>
      <w:pPr>
        <w:pStyle w:val="Heading2"/>
      </w:pPr>
      <w:r>
        <w:t xml:space="preserve">Cover Letter Expectations</w:t>
      </w:r>
    </w:p>
    <w:p>
      <w:pPr>
        <w:pStyle w:val="Compact"/>
        <w:numPr>
          <w:ilvl w:val="0"/>
          <w:numId w:val="1006"/>
        </w:numPr>
      </w:pPr>
      <w:r>
        <w:t xml:space="preserve">Must establish the</w:t>
      </w:r>
      <w:r>
        <w:t xml:space="preserve"> </w:t>
      </w:r>
      <w:r>
        <w:rPr>
          <w:b/>
          <w:bCs/>
        </w:rPr>
        <w:t xml:space="preserve">technology-society contribution</w:t>
      </w:r>
    </w:p>
    <w:p>
      <w:pPr>
        <w:pStyle w:val="Compact"/>
        <w:numPr>
          <w:ilvl w:val="0"/>
          <w:numId w:val="1006"/>
        </w:numPr>
      </w:pPr>
      <w:r>
        <w:t xml:space="preserve">Must name the</w:t>
      </w:r>
      <w:r>
        <w:t xml:space="preserve"> </w:t>
      </w:r>
      <w:r>
        <w:rPr>
          <w:b/>
          <w:bCs/>
        </w:rPr>
        <w:t xml:space="preserve">applied or policy implication</w:t>
      </w:r>
    </w:p>
    <w:p>
      <w:pPr>
        <w:pStyle w:val="Compact"/>
        <w:numPr>
          <w:ilvl w:val="0"/>
          <w:numId w:val="1006"/>
        </w:numPr>
      </w:pPr>
      <w:r>
        <w:t xml:space="preserve">Must demonstrate awareness of the journal’s interdisciplinary scope</w:t>
      </w:r>
    </w:p>
    <w:p>
      <w:pPr>
        <w:pStyle w:val="Compact"/>
        <w:numPr>
          <w:ilvl w:val="0"/>
          <w:numId w:val="1006"/>
        </w:numPr>
      </w:pPr>
      <w:r>
        <w:t xml:space="preserve">Should name specific policy actors who can use the findings</w:t>
      </w:r>
    </w:p>
    <w:p>
      <w:pPr>
        <w:pStyle w:val="Compact"/>
        <w:numPr>
          <w:ilvl w:val="0"/>
          <w:numId w:val="1006"/>
        </w:numPr>
      </w:pPr>
      <w:r>
        <w:t xml:space="preserve">Suggested reviewers with affiliations (avoid same-institution and recent co-author conflicts)</w:t>
      </w:r>
    </w:p>
    <w:p>
      <w:r>
        <w:pict>
          <v:rect style="width:0;height:1.5pt" o:hralign="center" o:hrstd="t" o:hr="t"/>
        </w:pict>
      </w:r>
    </w:p>
    <w:bookmarkEnd w:id="17"/>
    <w:bookmarkStart w:id="18" w:name="submission-portal"/>
    <w:p>
      <w:pPr>
        <w:pStyle w:val="Heading2"/>
      </w:pPr>
      <w:r>
        <w:t xml:space="preserve">Submission Portal</w:t>
      </w:r>
    </w:p>
    <w:p>
      <w:pPr>
        <w:pStyle w:val="Compact"/>
        <w:numPr>
          <w:ilvl w:val="0"/>
          <w:numId w:val="1007"/>
        </w:numPr>
      </w:pPr>
      <w:r>
        <w:rPr>
          <w:b/>
          <w:bCs/>
        </w:rPr>
        <w:t xml:space="preserve">Platform:</w:t>
      </w:r>
      <w:r>
        <w:t xml:space="preserve"> </w:t>
      </w:r>
      <w:r>
        <w:t xml:space="preserve">Elsevier Editorial Manager</w:t>
      </w:r>
    </w:p>
    <w:p>
      <w:pPr>
        <w:pStyle w:val="Compact"/>
        <w:numPr>
          <w:ilvl w:val="0"/>
          <w:numId w:val="1007"/>
        </w:numPr>
      </w:pPr>
      <w:r>
        <w:rPr>
          <w:b/>
          <w:bCs/>
        </w:rPr>
        <w:t xml:space="preserve">URL:</w:t>
      </w:r>
      <w:r>
        <w:t xml:space="preserve"> </w:t>
      </w:r>
      <w:r>
        <w:t xml:space="preserve">https://www.editorialmanager.com/tis/</w:t>
      </w:r>
    </w:p>
    <w:p>
      <w:pPr>
        <w:pStyle w:val="Compact"/>
        <w:numPr>
          <w:ilvl w:val="0"/>
          <w:numId w:val="1007"/>
        </w:numPr>
      </w:pPr>
      <w:r>
        <w:rPr>
          <w:b/>
          <w:bCs/>
        </w:rPr>
        <w:t xml:space="preserve">Access:</w:t>
      </w:r>
      <w:r>
        <w:t xml:space="preserve"> </w:t>
      </w:r>
      <w:r>
        <w:t xml:space="preserve">Via the journal’s Guide for Authors page on ScienceDirect</w:t>
      </w:r>
    </w:p>
    <w:p>
      <w:r>
        <w:pict>
          <v:rect style="width:0;height:1.5pt" o:hralign="center" o:hrstd="t" o:hr="t"/>
        </w:pict>
      </w:r>
    </w:p>
    <w:bookmarkEnd w:id="18"/>
    <w:bookmarkStart w:id="19" w:name="editorial-timeline"/>
    <w:p>
      <w:pPr>
        <w:pStyle w:val="Heading2"/>
      </w:pPr>
      <w:r>
        <w:t xml:space="preserve">Editorial 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Typical Duration</w:t>
            </w:r>
          </w:p>
        </w:tc>
      </w:tr>
      <w:tr>
        <w:tc>
          <w:tcPr/>
          <w:p>
            <w:pPr>
              <w:pStyle w:val="Compact"/>
            </w:pPr>
            <w:r>
              <w:t xml:space="preserve">Intake and technical check</w:t>
            </w:r>
          </w:p>
        </w:tc>
        <w:tc>
          <w:tcPr/>
          <w:p>
            <w:pPr>
              <w:pStyle w:val="Compact"/>
            </w:pPr>
            <w:r>
              <w:t xml:space="preserve">0–5 days</w:t>
            </w:r>
          </w:p>
        </w:tc>
      </w:tr>
      <w:tr>
        <w:tc>
          <w:tcPr/>
          <w:p>
            <w:pPr>
              <w:pStyle w:val="Compact"/>
            </w:pPr>
            <w:r>
              <w:t xml:space="preserve">Editor desk-screen</w:t>
            </w:r>
          </w:p>
        </w:tc>
        <w:tc>
          <w:tcPr/>
          <w:p>
            <w:pPr>
              <w:pStyle w:val="Compact"/>
            </w:pPr>
            <w:r>
              <w:t xml:space="preserve">5–21 days</w:t>
            </w:r>
          </w:p>
        </w:tc>
      </w:tr>
      <w:tr>
        <w:tc>
          <w:tcPr/>
          <w:p>
            <w:pPr>
              <w:pStyle w:val="Compact"/>
            </w:pPr>
            <w:r>
              <w:t xml:space="preserve">External peer review</w:t>
            </w:r>
          </w:p>
        </w:tc>
        <w:tc>
          <w:tcPr/>
          <w:p>
            <w:pPr>
              <w:pStyle w:val="Compact"/>
            </w:pPr>
            <w:r>
              <w:t xml:space="preserve">4–8 weeks</w:t>
            </w:r>
          </w:p>
        </w:tc>
      </w:tr>
      <w:tr>
        <w:tc>
          <w:tcPr/>
          <w:p>
            <w:pPr>
              <w:pStyle w:val="Compact"/>
            </w:pPr>
            <w:r>
              <w:t xml:space="preserve">Decision and revision</w:t>
            </w:r>
          </w:p>
        </w:tc>
        <w:tc>
          <w:tcPr/>
          <w:p>
            <w:pPr>
              <w:pStyle w:val="Compact"/>
            </w:pPr>
            <w:r>
              <w:t xml:space="preserve">8–16 weeks</w:t>
            </w:r>
          </w:p>
        </w:tc>
      </w:tr>
      <w:tr>
        <w:tc>
          <w:tcPr/>
          <w:p>
            <w:pPr>
              <w:pStyle w:val="Compact"/>
            </w:pPr>
            <w:r>
              <w:t xml:space="preserve">Submission to first decision</w:t>
            </w:r>
          </w:p>
        </w:tc>
        <w:tc>
          <w:tcPr/>
          <w:p>
            <w:pPr>
              <w:pStyle w:val="Compact"/>
            </w:pPr>
            <w:r>
              <w:t xml:space="preserve">~9 days</w:t>
            </w:r>
          </w:p>
        </w:tc>
      </w:tr>
      <w:tr>
        <w:tc>
          <w:tcPr/>
          <w:p>
            <w:pPr>
              <w:pStyle w:val="Compact"/>
            </w:pPr>
            <w:r>
              <w:t xml:space="preserve">Submission to decision after review</w:t>
            </w:r>
          </w:p>
        </w:tc>
        <w:tc>
          <w:tcPr/>
          <w:p>
            <w:pPr>
              <w:pStyle w:val="Compact"/>
            </w:pPr>
            <w:r>
              <w:t xml:space="preserve">~79 days</w:t>
            </w:r>
          </w:p>
        </w:tc>
      </w:tr>
      <w:tr>
        <w:tc>
          <w:tcPr/>
          <w:p>
            <w:pPr>
              <w:pStyle w:val="Compact"/>
            </w:pPr>
            <w:r>
              <w:t xml:space="preserve">Submission to acceptance</w:t>
            </w:r>
          </w:p>
        </w:tc>
        <w:tc>
          <w:tcPr/>
          <w:p>
            <w:pPr>
              <w:pStyle w:val="Compact"/>
            </w:pPr>
            <w:r>
              <w:t xml:space="preserve">~195 days</w:t>
            </w:r>
          </w:p>
        </w:tc>
      </w:tr>
      <w:tr>
        <w:tc>
          <w:tcPr/>
          <w:p>
            <w:pPr>
              <w:pStyle w:val="Compact"/>
            </w:pPr>
            <w:r>
              <w:t xml:space="preserve">Acceptance to online publication</w:t>
            </w:r>
          </w:p>
        </w:tc>
        <w:tc>
          <w:tcPr/>
          <w:p>
            <w:pPr>
              <w:pStyle w:val="Compact"/>
            </w:pPr>
            <w:r>
              <w:t xml:space="preserve">~2 days</w:t>
            </w:r>
          </w:p>
        </w:tc>
      </w:tr>
    </w:tbl>
    <w:p>
      <w:pPr>
        <w:pStyle w:val="BodyText"/>
      </w:pPr>
      <w:r>
        <w:rPr>
          <w:b/>
          <w:bCs/>
        </w:rPr>
        <w:t xml:space="preserve">Source:</w:t>
      </w:r>
      <w:r>
        <w:t xml:space="preserve"> </w:t>
      </w:r>
      <w:r>
        <w:t xml:space="preserve">ScienceDirect journal metrics, manusights.com</w:t>
      </w:r>
    </w:p>
    <w:p>
      <w:r>
        <w:pict>
          <v:rect style="width:0;height:1.5pt" o:hralign="center" o:hrstd="t" o:hr="t"/>
        </w:pict>
      </w:r>
    </w:p>
    <w:bookmarkEnd w:id="19"/>
    <w:bookmarkStart w:id="20" w:name="apc-open-access"/>
    <w:p>
      <w:pPr>
        <w:pStyle w:val="Heading2"/>
      </w:pPr>
      <w:r>
        <w:t xml:space="preserve">APC / Open Access</w:t>
      </w:r>
    </w:p>
    <w:p>
      <w:pPr>
        <w:pStyle w:val="Compact"/>
        <w:numPr>
          <w:ilvl w:val="0"/>
          <w:numId w:val="1008"/>
        </w:numPr>
      </w:pPr>
      <w:r>
        <w:rPr>
          <w:b/>
          <w:bCs/>
        </w:rPr>
        <w:t xml:space="preserve">Subscription model:</w:t>
      </w:r>
      <w:r>
        <w:t xml:space="preserve"> </w:t>
      </w:r>
      <w:r>
        <w:t xml:space="preserve">No APC (free to publish)</w:t>
      </w:r>
    </w:p>
    <w:p>
      <w:pPr>
        <w:pStyle w:val="Compact"/>
        <w:numPr>
          <w:ilvl w:val="0"/>
          <w:numId w:val="1008"/>
        </w:numPr>
      </w:pPr>
      <w:r>
        <w:rPr>
          <w:b/>
          <w:bCs/>
        </w:rPr>
        <w:t xml:space="preserve">Gold Open Access option:</w:t>
      </w:r>
      <w:r>
        <w:t xml:space="preserve"> </w:t>
      </w:r>
      <w:r>
        <w:t xml:space="preserve">$4,030 USD APC</w:t>
      </w:r>
    </w:p>
    <w:p>
      <w:pPr>
        <w:pStyle w:val="Compact"/>
        <w:numPr>
          <w:ilvl w:val="0"/>
          <w:numId w:val="1008"/>
        </w:numPr>
      </w:pPr>
      <w:r>
        <w:rPr>
          <w:b/>
          <w:bCs/>
        </w:rPr>
        <w:t xml:space="preserve">Green OA:</w:t>
      </w:r>
      <w:r>
        <w:t xml:space="preserve"> </w:t>
      </w:r>
      <w:r>
        <w:t xml:space="preserve">Allowed per Elsevier sharing policy (accepted manuscript after embargo)</w:t>
      </w:r>
    </w:p>
    <w:p>
      <w:r>
        <w:pict>
          <v:rect style="width:0;height:1.5pt" o:hralign="center" o:hrstd="t" o:hr="t"/>
        </w:pict>
      </w:r>
    </w:p>
    <w:bookmarkEnd w:id="20"/>
    <w:bookmarkStart w:id="21" w:name="desk-rejection-criteria"/>
    <w:p>
      <w:pPr>
        <w:pStyle w:val="Heading2"/>
      </w:pPr>
      <w:r>
        <w:t xml:space="preserve">Desk Rejection Criteria</w:t>
      </w:r>
    </w:p>
    <w:p>
      <w:pPr>
        <w:pStyle w:val="FirstParagraph"/>
      </w:pPr>
      <w:r>
        <w:t xml:space="preserve">Editors screen for three operational signals:</w:t>
      </w:r>
    </w:p>
    <w:p>
      <w:pPr>
        <w:pStyle w:val="Compact"/>
        <w:numPr>
          <w:ilvl w:val="0"/>
          <w:numId w:val="1009"/>
        </w:numPr>
      </w:pPr>
      <w:r>
        <w:rPr>
          <w:b/>
          <w:bCs/>
        </w:rPr>
        <w:t xml:space="preserve">Tech-society substance</w:t>
      </w:r>
      <w:r>
        <w:t xml:space="preserve"> </w:t>
      </w:r>
      <w:r>
        <w:t xml:space="preserve">— Is there a substantive technology-society contribution, or is this a generic social-science or CS paper?</w:t>
      </w:r>
    </w:p>
    <w:p>
      <w:pPr>
        <w:pStyle w:val="Compact"/>
        <w:numPr>
          <w:ilvl w:val="0"/>
          <w:numId w:val="1009"/>
        </w:numPr>
      </w:pPr>
      <w:r>
        <w:rPr>
          <w:b/>
          <w:bCs/>
        </w:rPr>
        <w:t xml:space="preserve">Methodological rigor</w:t>
      </w:r>
      <w:r>
        <w:t xml:space="preserve"> </w:t>
      </w:r>
      <w:r>
        <w:t xml:space="preserve">— Are methods appropriate for the claims?</w:t>
      </w:r>
    </w:p>
    <w:p>
      <w:pPr>
        <w:pStyle w:val="Compact"/>
        <w:numPr>
          <w:ilvl w:val="0"/>
          <w:numId w:val="1009"/>
        </w:numPr>
      </w:pPr>
      <w:r>
        <w:rPr>
          <w:b/>
          <w:bCs/>
        </w:rPr>
        <w:t xml:space="preserve">Applied or policy implications</w:t>
      </w:r>
      <w:r>
        <w:t xml:space="preserve"> </w:t>
      </w:r>
      <w:r>
        <w:t xml:space="preserve">— Does the paper name specific policy actors and actions?</w:t>
      </w:r>
    </w:p>
    <w:p>
      <w:pPr>
        <w:pStyle w:val="FirstParagraph"/>
      </w:pPr>
      <w:r>
        <w:t xml:space="preserve">Common desk-rejection patterns:</w:t>
      </w:r>
      <w:r>
        <w:t xml:space="preserve"> </w:t>
      </w:r>
      <w:r>
        <w:t xml:space="preserve">- Pure CS papers without technology-society framing</w:t>
      </w:r>
      <w:r>
        <w:t xml:space="preserve"> </w:t>
      </w:r>
      <w:r>
        <w:t xml:space="preserve">- Pure social-science papers without technology mechanism</w:t>
      </w:r>
      <w:r>
        <w:t xml:space="preserve"> </w:t>
      </w:r>
      <w:r>
        <w:t xml:space="preserve">- Technology impact descriptions without policy actor identification</w:t>
      </w:r>
      <w:r>
        <w:t xml:space="preserve"> </w:t>
      </w:r>
      <w:r>
        <w:t xml:space="preserve">- Missing required declarations</w:t>
      </w:r>
      <w:r>
        <w:t xml:space="preserve"> </w:t>
      </w:r>
      <w:r>
        <w:t xml:space="preserve">- PDF-only submissions</w:t>
      </w:r>
    </w:p>
    <w:p>
      <w:r>
        <w:pict>
          <v:rect style="width:0;height:1.5pt" o:hralign="center" o:hrstd="t" o:hr="t"/>
        </w:pict>
      </w:r>
    </w:p>
    <w:bookmarkEnd w:id="21"/>
    <w:bookmarkStart w:id="22" w:name="repository-code-sharing"/>
    <w:p>
      <w:pPr>
        <w:pStyle w:val="Heading2"/>
      </w:pPr>
      <w:r>
        <w:t xml:space="preserve">Repository / Code Sharing</w:t>
      </w:r>
    </w:p>
    <w:p>
      <w:pPr>
        <w:pStyle w:val="Compact"/>
        <w:numPr>
          <w:ilvl w:val="0"/>
          <w:numId w:val="1010"/>
        </w:numPr>
      </w:pPr>
      <w:r>
        <w:t xml:space="preserve">Elsevier encourages data and code sharing</w:t>
      </w:r>
    </w:p>
    <w:p>
      <w:pPr>
        <w:pStyle w:val="Compact"/>
        <w:numPr>
          <w:ilvl w:val="0"/>
          <w:numId w:val="1010"/>
        </w:numPr>
      </w:pPr>
      <w:r>
        <w:t xml:space="preserve">GitHub repositories should be cited in Data Availability Statement</w:t>
      </w:r>
    </w:p>
    <w:p>
      <w:pPr>
        <w:pStyle w:val="Compact"/>
        <w:numPr>
          <w:ilvl w:val="0"/>
          <w:numId w:val="1010"/>
        </w:numPr>
      </w:pPr>
      <w:r>
        <w:t xml:space="preserve">Repositories can be private during review, public upon acceptance</w:t>
      </w:r>
    </w:p>
    <w:p>
      <w:pPr>
        <w:pStyle w:val="Compact"/>
        <w:numPr>
          <w:ilvl w:val="0"/>
          <w:numId w:val="1010"/>
        </w:numPr>
      </w:pPr>
      <w:r>
        <w:t xml:space="preserve">Zenodo DOI recommended for archival preservation</w:t>
      </w:r>
    </w:p>
    <w:p>
      <w:pPr>
        <w:pStyle w:val="Compact"/>
        <w:numPr>
          <w:ilvl w:val="0"/>
          <w:numId w:val="1010"/>
        </w:numPr>
      </w:pPr>
      <w:r>
        <w:t xml:space="preserve">No specific repository structure requirements from Elsevier</w:t>
      </w:r>
    </w:p>
    <w:p>
      <w:r>
        <w:pict>
          <v:rect style="width:0;height:1.5pt" o:hralign="center" o:hrstd="t" o:hr="t"/>
        </w:pict>
      </w:r>
    </w:p>
    <w:p>
      <w:pPr>
        <w:pStyle w:val="FirstParagraph"/>
      </w:pPr>
      <w:r>
        <w:rPr>
          <w:i/>
          <w:iCs/>
        </w:rPr>
        <w:t xml:space="preserve">Compiled from official Elsevier sources, ScienceDirect journal page, and manusights.com submission guide. Last verified June 4, 2026.</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2026-06-04T14:25:02Z</dcterms:created>
  <dcterms:modified xsi:type="dcterms:W3CDTF">2026-06-04T14:25:02Z</dcterms:modified>
</cp:coreProperties>
</file>

<file path=docProps/custom.xml><?xml version="1.0" encoding="utf-8"?>
<Properties xmlns="http://schemas.openxmlformats.org/officeDocument/2006/custom-properties" xmlns:vt="http://schemas.openxmlformats.org/officeDocument/2006/docPropsVTypes"/>
</file>