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69.png" ContentType="image/png"/>
  <Override PartName="/word/media/rId50.png" ContentType="image/png"/>
  <Override PartName="/word/media/rId60.png" ContentType="image/png"/>
  <Override PartName="/word/media/rId27.png" ContentType="image/png"/>
  <Override PartName="/word/media/rId45.png" ContentType="image/png"/>
  <Override PartName="/word/media/rId67.png" ContentType="image/png"/>
  <Override PartName="/word/media/rId32.png" ContentType="image/png"/>
  <Override PartName="/word/media/rId35.png" ContentType="image/png"/>
  <Override PartName="/word/media/rId43.png" ContentType="image/png"/>
  <Override PartName="/word/media/rId41.png" ContentType="image/png"/>
  <Override PartName="/word/media/rId71.png" ContentType="image/png"/>
  <Override PartName="/word/media/rId58.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Cs/>
          <w:b/>
        </w:rPr>
        <w:t xml:space="preserve">基于重复测量建模与条件风险决策的 NIPT 检测时点优化及异常判定</w:t>
      </w:r>
    </w:p>
    <w:bookmarkStart w:id="20" w:name="摘要"/>
    <w:p>
      <w:pPr>
        <w:pStyle w:val="Heading1"/>
      </w:pPr>
      <w:r>
        <w:t xml:space="preserve">摘要</w:t>
      </w:r>
    </w:p>
    <w:p>
      <w:pPr>
        <w:pStyle w:val="FirstParagraph"/>
      </w:pPr>
      <w:r>
        <w:t xml:space="preserve">无创产前基因检测（NIPT）的时点选择需同时处理胎儿游离 DNA 浓度增长、同一孕妇多次检测的相关性以及延迟发现风险；异常判定则面对类别不平衡与少数阳性样本。本文以男胎 1082 条记录、267 名孕妇与女胎 605 条记录、147 名孕妇为对象，按孕妇分组构建</w:t>
      </w:r>
      <w:r>
        <w:t xml:space="preserve">“</w:t>
      </w:r>
      <w:r>
        <w:t xml:space="preserve">浓度关联解释—达标概率预测—条件风险决策—异常标记判定</w:t>
      </w:r>
      <w:r>
        <w:t xml:space="preserve">”</w:t>
      </w:r>
      <w:r>
        <w:t xml:space="preserve">的框架，避免将重复测序记录当作独立样本。</w:t>
      </w:r>
    </w:p>
    <w:p>
      <w:pPr>
        <w:pStyle w:val="BodyText"/>
      </w:pPr>
      <w:r>
        <w:rPr>
          <w:bCs/>
          <w:b/>
        </w:rPr>
        <w:t xml:space="preserve">对于问题一，</w:t>
      </w:r>
      <w:r>
        <w:t xml:space="preserve">在 Y 染色体浓度的 logit 尺度上建立随机截距线性混合模型，并以低维加性样条作非线性对照。孕周系数为 0.04701、BMI 系数为</w:t>
      </w:r>
      <w:r>
        <w:t xml:space="preserve"> </w:t>
      </w:r>
      <m:oMath>
        <m:r>
          <m:rPr>
            <m:sty m:val="p"/>
          </m:rPr>
          <m:t>−</m:t>
        </m:r>
        <m:r>
          <m:t>0.02446</m:t>
        </m:r>
      </m:oMath>
      <w:r>
        <w:t xml:space="preserve">，组内相关系数为 0.7283；按孕妇留出的预测决定系数</w:t>
      </w:r>
      <w:r>
        <w:t xml:space="preserve"> </w:t>
      </w:r>
      <m:oMath>
        <m:sSup>
          <m:e>
            <m:r>
              <m:t>R</m:t>
            </m:r>
          </m:e>
          <m:sup>
            <m:r>
              <m:t>2</m:t>
            </m:r>
          </m:sup>
        </m:sSup>
        <m:r>
          <m:rPr>
            <m:sty m:val="p"/>
          </m:rPr>
          <m:t>=</m:t>
        </m:r>
        <m:r>
          <m:rPr>
            <m:sty m:val="p"/>
          </m:rPr>
          <m:t>−</m:t>
        </m:r>
        <m:r>
          <m:t>0.0302</m:t>
        </m:r>
      </m:oMath>
      <w:r>
        <w:t xml:space="preserve">。显著关联与新孕妇个体预测能力被明确区分：孕周、BMI 有群体解释力，但不足以准确预测从未见过的孕妇。</w:t>
      </w:r>
    </w:p>
    <w:p>
      <w:pPr>
        <w:pStyle w:val="BodyText"/>
      </w:pPr>
      <w:r>
        <w:rPr>
          <w:bCs/>
          <w:b/>
        </w:rPr>
        <w:t xml:space="preserve">对于问题二，</w:t>
      </w:r>
      <w:r>
        <w:t xml:space="preserve">以 Y 浓度是否达到 4% 建立边际达标概率模型（对新孕妇积分随机效应），并把失败风险与延迟代价合成为条件风险，用动态规划在连续 BMI 上联合确定分组与时点。中延迟 M 情景（外部设定的风险权重，不视为医学常数）给出三组条件方案：BMI</w:t>
      </w:r>
      <w:r>
        <w:t xml:space="preserve"> </w:t>
      </w:r>
      <m:oMath>
        <m:r>
          <m:rPr>
            <m:sty m:val="p"/>
          </m:rPr>
          <m:t>[</m:t>
        </m:r>
        <m:r>
          <m:t>20.7</m:t>
        </m:r>
        <m:r>
          <m:rPr>
            <m:sty m:val="p"/>
          </m:rPr>
          <m:t>,</m:t>
        </m:r>
        <m:r>
          <m:t>33.4</m:t>
        </m:r>
        <m:r>
          <m:rPr>
            <m:sty m:val="p"/>
          </m:rPr>
          <m:t>)</m:t>
        </m:r>
      </m:oMath>
      <w:r>
        <w:t xml:space="preserve">、</w:t>
      </w:r>
      <m:oMath>
        <m:r>
          <m:rPr>
            <m:sty m:val="p"/>
          </m:rPr>
          <m:t>[</m:t>
        </m:r>
        <m:r>
          <m:t>33.4</m:t>
        </m:r>
        <m:r>
          <m:rPr>
            <m:sty m:val="p"/>
          </m:rPr>
          <m:t>,</m:t>
        </m:r>
        <m:r>
          <m:t>34.4</m:t>
        </m:r>
        <m:r>
          <m:rPr>
            <m:sty m:val="p"/>
          </m:rPr>
          <m:t>)</m:t>
        </m:r>
      </m:oMath>
      <w:r>
        <w:t xml:space="preserve">、</w:t>
      </w:r>
      <m:oMath>
        <m:r>
          <m:rPr>
            <m:sty m:val="p"/>
          </m:rPr>
          <m:t>[</m:t>
        </m:r>
        <m:r>
          <m:t>34.4</m:t>
        </m:r>
        <m:r>
          <m:rPr>
            <m:sty m:val="p"/>
          </m:rPr>
          <m:t>,</m:t>
        </m:r>
        <m:r>
          <m:t>46.9</m:t>
        </m:r>
        <m:r>
          <m:rPr>
            <m:sty m:val="p"/>
          </m:rPr>
          <m:t>]</m:t>
        </m:r>
      </m:oMath>
      <w:r>
        <w:t xml:space="preserve"> </w:t>
      </w:r>
      <w:r>
        <w:t xml:space="preserve">分别建议 11 周、11 周 6 天、12 周 6 天检测，对应 200、25、42 名孕妇。11 周为搜索域下界，且不晚于 12 周的首次观测仅 69 名孕妇，故该答案绑定阈值与风险情景，不宣称为无条件最优。</w:t>
      </w:r>
    </w:p>
    <w:p>
      <w:pPr>
        <w:pStyle w:val="BodyText"/>
      </w:pPr>
      <w:r>
        <w:rPr>
          <w:bCs/>
          <w:b/>
        </w:rPr>
        <w:t xml:space="preserve">对于问题三，</w:t>
      </w:r>
      <w:r>
        <w:t xml:space="preserve">加入年龄、身高及孕产代理变量后，基础扩展模型 Brier 为 0.11192，较 Q2 高 0.00032（配对区间跨零），未显示稳定增益；因此保留问题二的简洁主线，多因素方案仅作为条件扩展。</w:t>
      </w:r>
    </w:p>
    <w:p>
      <w:pPr>
        <w:pStyle w:val="BodyText"/>
      </w:pPr>
      <w:r>
        <w:rPr>
          <w:bCs/>
          <w:b/>
        </w:rPr>
        <w:t xml:space="preserve">对于问题四，</w:t>
      </w:r>
      <w:r>
        <w:t xml:space="preserve">固定阈值</w:t>
      </w:r>
      <w:r>
        <w:t xml:space="preserve"> </w:t>
      </w:r>
      <m:oMath>
        <m:r>
          <m:rPr>
            <m:sty m:val="p"/>
          </m:rPr>
          <m:t>|</m:t>
        </m:r>
        <m:r>
          <m:t>Z</m:t>
        </m:r>
        <m:r>
          <m:rPr>
            <m:sty m:val="p"/>
          </m:rPr>
          <m:t>|</m:t>
        </m:r>
        <m:r>
          <m:rPr>
            <m:sty m:val="p"/>
          </m:rPr>
          <m:t>≥</m:t>
        </m:r>
        <m:r>
          <m:t>3</m:t>
        </m:r>
      </m:oMath>
      <w:r>
        <w:t xml:space="preserve"> </w:t>
      </w:r>
      <w:r>
        <w:t xml:space="preserve">的常规 Z 值规则在本数据召回率仅 5.97%，不足以独立判定。改以 16 个测序与孕妇特征的 Elastic-Net Logistic 为主模型，采用按孕妇分组的嵌套交叉验证：外层 5 折、内层按主体选正则化强度与判定阈值。外层 AUC 为 0.808（95%CI [0.756, 0.859]）、PR-AUC 为 0.460、Brier 为 0.160；嵌套阈值（各折中位 0.491）下敏感度 68.7%、特异度 77.3%。并给出</w:t>
      </w:r>
      <w:r>
        <w:t xml:space="preserve">“</w:t>
      </w:r>
      <w:r>
        <w:t xml:space="preserve">质控</w:t>
      </w:r>
      <w:r>
        <w:t xml:space="preserve"> </w:t>
      </w:r>
      <m:oMath>
        <m:r>
          <m:rPr>
            <m:sty m:val="p"/>
          </m:rPr>
          <m:t>→</m:t>
        </m:r>
      </m:oMath>
      <w:r>
        <w:t xml:space="preserve"> </w:t>
      </w:r>
      <w:r>
        <w:t xml:space="preserve">Z 值提示</w:t>
      </w:r>
      <w:r>
        <w:t xml:space="preserve"> </w:t>
      </w:r>
      <m:oMath>
        <m:r>
          <m:rPr>
            <m:sty m:val="p"/>
          </m:rPr>
          <m:t>→</m:t>
        </m:r>
      </m:oMath>
      <w:r>
        <w:t xml:space="preserve"> </w:t>
      </w:r>
      <w:r>
        <w:t xml:space="preserve">概率复核</w:t>
      </w:r>
      <w:r>
        <w:t xml:space="preserve">”</w:t>
      </w:r>
      <w:r>
        <w:t xml:space="preserve">的三级示例判定规则，明确 0.491 与 0.30 两条阈值的来源与局限。</w:t>
      </w:r>
    </w:p>
    <w:p>
      <w:pPr>
        <w:pStyle w:val="BodyText"/>
      </w:pPr>
      <w:r>
        <w:t xml:space="preserve">结论适用于本附件、所列阈值与风险情景，不能替代临床确诊或独立队列验证；全套代码与结果可按附录复现清单追溯。</w:t>
      </w:r>
    </w:p>
    <w:p>
      <w:pPr>
        <w:pStyle w:val="BodyText"/>
      </w:pPr>
      <w:r>
        <w:t xml:space="preserve">关键词：NIPT；重复测量混合模型；条件风险决策；动态规划；Elastic-Net；概率校准</w:t>
      </w:r>
    </w:p>
    <w:bookmarkEnd w:id="20"/>
    <w:bookmarkStart w:id="21" w:name="引言"/>
    <w:p>
      <w:pPr>
        <w:pStyle w:val="Heading1"/>
      </w:pPr>
      <w:r>
        <w:t xml:space="preserve">引言</w:t>
      </w:r>
    </w:p>
    <w:p>
      <w:pPr>
        <w:pStyle w:val="FirstParagraph"/>
      </w:pPr>
      <w:r>
        <w:t xml:space="preserve">无创产前基因检测（NIPT）以孕妇外周血中的胎儿游离 DNA 为信息来源。与侵入性取样相比，其风险低、易于重复，但结果是否可报告、异常信号是否可检出，与采样时的孕周及胎儿游离 DNA 比例密切相关：孕周过小，浓度不足会导致检测失败或结果不可信；孕周偏大，若存在需要复核或产前诊断的情形，留给临床决策的时间又被压缩。因此，"何时检测"不是单一的浓度最大化问题，而是在浓度增长规律、个体差异与延迟发现代价之间的权衡。另一方面，检测后的结果解读在男胎与女胎中的依据不同：男胎可直接利用 Y 染色体浓度信号，而女胎没有 Y 信号，只能依赖 13、18、21 号染色体及 X 染色体相关的测序统计量与孕妇特征判定非整倍体标记。附件数据以"同一孕妇多次检测"的纵向记录为主，男胎工作表含 1082 条记录、267 名孕妇，女胎工作表含 605 条记录、147 名孕妇。同一孕妇的多条记录并不独立，若按行建模会系统性夸大有效样本量、高估泛化能力，因此全文以孕妇为独立抽样单位。</w:t>
      </w:r>
    </w:p>
    <w:p>
      <w:pPr>
        <w:pStyle w:val="BodyText"/>
      </w:pPr>
      <w:r>
        <w:t xml:space="preserve">本文按信息可得的时间顺序组织四个任务。问题一以男胎 Y 染色体浓度为连续响应，在 logit 尺度建立含孕妇随机截距的纵向模型，回答孕周与 BMI 是否与浓度存在可解释的关联；并把"群体关联显著"与"对新孕妇是否可预测"分开陈述。问题二把浓度观测转化为达标事件（达到 4%），先对新孕妇积分随机效应得到边际达标概率，再把失败概率与逐周延迟代价合成为条件风险，在显式风险情景下用动态规划联合划分 BMI 区间与推荐时点。问题三检验在预约前可得变量（年龄、身高及孕产代理变量）中能否找到对问题二决策基础的稳定改进。问题四面向女胎，在检测后特征条件下建立异常标记的概率判定模型，给出可复核的三级示例判定规则，并说明规则阈值的来源与使用边界。</w:t>
      </w:r>
    </w:p>
    <w:p>
      <w:pPr>
        <w:pStyle w:val="BodyText"/>
      </w:pPr>
      <w:r>
        <w:t xml:space="preserve">贯穿四问的技术原则有三条。其一，数据层级必须区分孕妇、抽血、测序：重复测量结构通过随机效应刻画，验证划分以孕妇为界，避免同一孕妇的相似记录同时出现在训练与测试集。其二，信息可得时点决定变量能否进入模型：预约决策只能使用预约前信息，而检测后判读可以使用测序质量特征。其三，报告口径与验证口径一致：正文给出的时点与阈值都绑定明确的浓度阈值、风险权重与支持约束，指标都来自按孕妇留出的折外预测，并同时报告不确定性来源（配对区间、重采样、Bootstrap），不把交叉验证的汇总统计量表述为独立验证后的部署结论。</w:t>
      </w:r>
    </w:p>
    <w:bookmarkEnd w:id="21"/>
    <w:bookmarkStart w:id="22" w:name="总体分析"/>
    <w:p>
      <w:pPr>
        <w:pStyle w:val="Heading1"/>
      </w:pPr>
      <w:r>
        <w:t xml:space="preserve">总体分析</w:t>
      </w:r>
    </w:p>
    <w:p>
      <w:pPr>
        <w:pStyle w:val="FirstParagraph"/>
      </w:pPr>
      <w:r>
        <w:t xml:space="preserve">四个子问题按"关联解释—概率预测—风险决策—异常判定"的链条递进，其统计任务与信息口径各不相同，不能用一个模型通吃。问题一是连续响应上的纵向关联刻画，目标是系数解释与假设检验，验证关心"对新孕妇的固定效应外推是否成立"；问题二把连续浓度二元化为达标事件，预测对象是未见孕妇在某孕周达标的边际概率，验证关心概率校准与跨孕妇稳定性；问题三在问题二的验证框架上比较协变量规格，属于同折配对比较；问题四则是检测后特征上的不平衡分类，验证必须同时按孕妇分组并处理稀有的阳性标签。四个问题的时间口径不同：前三问只允许使用预约时已知信息（首条记录的 BMI、年龄等），问题四可以使用检测完成后才得到的染色体统计量与质量特征。</w:t>
      </w:r>
    </w:p>
    <w:p>
      <w:pPr>
        <w:pStyle w:val="BodyText"/>
      </w:pPr>
      <w:r>
        <w:t xml:space="preserve">方法设计上，本文强调三处对称的处理。其一，训练与验证对称：一切预处理（缺失填补、标准化）、参数选择与阈值选择都只在训练折内进行，折外记录只用于一次评估，杜绝通过"先看全数据再划分"引入的泄漏。其二，报告与口径对称：正文给出的是"本附件、给定阈值与风险情景下"的条件解，敏感性分析展示解随权重、阈值与样本扰动的变化，而不是把某组切点陈述为普适最优。其三，模型复杂度与证据强度对称：只有当候选模型在相同验证下相对当前基线有稳定增益时才升级主模型；样条对照、多因素扩展与阈值规则的比较均未获得足够的稳定证据，故主答案保留结构最简、解释最清晰的规格。</w:t>
      </w:r>
    </w:p>
    <w:p>
      <w:pPr>
        <w:pStyle w:val="BodyText"/>
      </w:pPr>
      <w:r>
        <w:t xml:space="preserve">验证层面的总体安排如下。问题一、二、三共用按孕妇分组的固定五折划分，便于问题三在同折上做配对损失比较；问题四采用按孕妇分组、按标签分层的嵌套交叉验证，内层在训练折内选择正则化强度与判定阈值。所有指标（RMSE、R²、Brier、AUC、敏感度/特异度等）都来自折外预测的汇总，Bootstrap 区间描述同一模型规格在主体重采样下的不确定性。分析过程中记录的失败或未通过的候选（如样条的非线性增益偏弱、多因素扩展无稳定增益、固定 Z 阈值召回不足）都保留在支撑材料的实验输出中，正文只陈述其证据含义，不删除失败记录，以保证结论可复核。</w:t>
      </w:r>
    </w:p>
    <w:bookmarkEnd w:id="22"/>
    <w:bookmarkStart w:id="23" w:name="模型假设"/>
    <w:p>
      <w:pPr>
        <w:pStyle w:val="Heading1"/>
      </w:pPr>
      <w:r>
        <w:t xml:space="preserve">模型假设</w:t>
      </w:r>
    </w:p>
    <w:p>
      <w:pPr>
        <w:pStyle w:val="FirstParagraph"/>
      </w:pPr>
      <w:r>
        <w:t xml:space="preserve">模型假设需要与数据层级、信息可得时点以及验证口径保持一致。若假设在数据上明显不成立，会直接改变结论的解释范围，因此这里逐条说明其理由与局限。</w:t>
      </w:r>
    </w:p>
    <w:p>
      <w:pPr>
        <w:numPr>
          <w:ilvl w:val="0"/>
          <w:numId w:val="1001"/>
        </w:numPr>
      </w:pPr>
      <w:r>
        <w:t xml:space="preserve">预约决策仅使用预约前或首条记录可得的信息，检测后质量变量不进入预约模型。该假设来自任务语义：给孕妇的"建议何时检测"只能在预约时给出，此时尚未产生本次检测的测序统计量。若把检测后信息（读段数、GC 含量、比对比例等）纳入预约模型，就构成对未来信息的穿越式使用。首条记录中的 BMI 等母体特征是预约前可得的代理信息，允许进入模型；但首条记录本身若已携带事后信息（例如本次检测的 Y 浓度）则不使用。该限制只针对预约类任务，问题四的结果解读发生在检测之后，可以使用全部检测特征。</w:t>
      </w:r>
    </w:p>
    <w:p>
      <w:pPr>
        <w:numPr>
          <w:ilvl w:val="0"/>
          <w:numId w:val="1001"/>
        </w:numPr>
      </w:pPr>
      <w:r>
        <w:t xml:space="preserve">同一孕妇的未观测稳定差异由随机截距刻画，给定固定效应和随机效应后残差近似独立。这是对纵向数据最简的相关结构假设：它承认同一孕妇多次检测的测量间存在由个体水平引起的稳定相关（组内相关），但不引入更复杂的时间相关或异方差。残差"近似独立"意味着模型未必能解释同次抽血内技术重复之间的残余波动，这部分波动单独在问题三的测量误差分析中用重复测序组估计，而不并入随机效应的解释。</w:t>
      </w:r>
    </w:p>
    <w:p>
      <w:pPr>
        <w:numPr>
          <w:ilvl w:val="0"/>
          <w:numId w:val="1001"/>
        </w:numPr>
      </w:pPr>
      <w:r>
        <w:t xml:space="preserve">4%为主分析浓度阈值，3.5%和4.5%只用于敏感性分析；搜索孕周为11至25周。4% 是题面给出的可报告性判断依据，并非本文推导出的医学最优值，故正文把 4% 作为主分析口径，同时用相邻阈值检验分组与时点对阈值口径的敏感性；孕周搜索域同样来自题面范围与数据观测支持。阈值与搜索域的改变会平移或改变分组结果，因此正文结论全部绑定"4%、指定风险情景、11–25 周搜索域"这一口径。</w:t>
      </w:r>
    </w:p>
    <w:p>
      <w:pPr>
        <w:numPr>
          <w:ilvl w:val="0"/>
          <w:numId w:val="1001"/>
        </w:numPr>
      </w:pPr>
      <w:r>
        <w:t xml:space="preserve">问题四的异常标签为附件标记，供模型比较，不等同于临床确诊结局。女胎工作表的"染色体的非整倍体"列给出的是标记而非金标准确诊；本文以该标记为学习目标得到的是"预测该标记的概率"，用于展示判别能力与判定流程，不构成临床诊断建议，也不作为患病率或检测性能的流行病学估计。</w:t>
      </w:r>
    </w:p>
    <w:p>
      <w:pPr>
        <w:pStyle w:val="FirstParagraph"/>
      </w:pPr>
      <w:r>
        <w:t xml:space="preserve">除上述显式假设外，模型还默认：缺失值机制在训练内可填补且不随孕妇泄漏（预处理见数据审查节）；男胎与女胎两工作表分开建模，不做跨性别信息借用；风险权重（延迟代价与 13 周阶跃惩罚）为分析者指定的情景参数而非估计量，其取值只用于比较方案在权重变化下的稳定性。正文所有"最优""建议"的表述都以上述假设为界，超出假设范围的解读（如直接迁移到其他人群或作为临床部署阈值）不在本文结论之内。</w:t>
      </w:r>
    </w:p>
    <w:bookmarkEnd w:id="23"/>
    <w:bookmarkStart w:id="25" w:name="符号说明"/>
    <w:p>
      <w:pPr>
        <w:pStyle w:val="Heading1"/>
      </w:pPr>
      <w:r>
        <w:t xml:space="preserve">符号说明</w:t>
      </w:r>
    </w:p>
    <w:bookmarkStart w:id="24" w:name="tab:symbol"/>
    <w:p>
      <w:pPr>
        <w:pStyle w:val="TableCaption"/>
      </w:pPr>
      <w:r>
        <w:t xml:space="preserve">主要符号说明</w:t>
      </w:r>
    </w:p>
    <w:tbl>
      <w:tblPr>
        <w:tblStyle w:val="Table"/>
        <w:tblW w:type="pct" w:w="0.0"/>
        <w:tblLook w:firstRow="1" w:lastRow="0" w:firstColumn="0" w:lastColumn="0" w:noHBand="0" w:noVBand="0" w:val="0020"/>
        <w:tblCaption w:val="主要符号说明"/>
      </w:tblPr>
      <w:tblGrid/>
      <w:tr>
        <w:tc>
          <w:p>
            <w:pPr>
              <w:pStyle w:val="Compact"/>
              <w:jc w:val="left"/>
            </w:pPr>
            <w:r>
              <w:t xml:space="preserve">符号</w:t>
            </w:r>
          </w:p>
        </w:tc>
        <w:tc>
          <w:p>
            <w:pPr>
              <w:pStyle w:val="Compact"/>
              <w:jc w:val="left"/>
            </w:pPr>
            <w:r>
              <w:t xml:space="preserve">含义</w:t>
            </w:r>
          </w:p>
        </w:tc>
      </w:tr>
      <w:tr>
        <w:tc>
          <w:p>
            <w:pPr>
              <w:pStyle w:val="Compact"/>
              <w:jc w:val="left"/>
            </w:pPr>
            <w:r>
              <w:t xml:space="preserve">符号</w:t>
            </w:r>
          </w:p>
        </w:tc>
        <w:tc>
          <w:p>
            <w:pPr>
              <w:pStyle w:val="Compact"/>
              <w:jc w:val="left"/>
            </w:pPr>
            <w:r>
              <w:t xml:space="preserve">含义</w:t>
            </w:r>
          </w:p>
        </w:tc>
      </w:tr>
      <w:tr>
        <w:tc>
          <w:p>
            <w:pPr>
              <w:pStyle w:val="Compact"/>
              <w:jc w:val="left"/>
            </w:pPr>
            <m:oMath>
              <m:sSub>
                <m:e>
                  <m:r>
                    <m:t>Y</m:t>
                  </m:r>
                </m:e>
                <m:sub>
                  <m:r>
                    <m:t>i</m:t>
                  </m:r>
                  <m:r>
                    <m:t>j</m:t>
                  </m:r>
                </m:sub>
              </m:sSub>
            </m:oMath>
          </w:p>
        </w:tc>
        <w:tc>
          <w:p>
            <w:pPr>
              <w:pStyle w:val="Compact"/>
              <w:jc w:val="left"/>
            </w:pPr>
            <w:r>
              <w:t xml:space="preserve">第</w:t>
            </w:r>
            <m:oMath>
              <m:r>
                <m:t>i</m:t>
              </m:r>
            </m:oMath>
            <w:r>
              <w:t xml:space="preserve">名孕妇第</w:t>
            </w:r>
            <m:oMath>
              <m:r>
                <m:t>j</m:t>
              </m:r>
            </m:oMath>
            <w:r>
              <w:t xml:space="preserve">次检测的Y染色体浓度</w:t>
            </w:r>
          </w:p>
        </w:tc>
      </w:tr>
      <w:tr>
        <w:tc>
          <w:p>
            <w:pPr>
              <w:pStyle w:val="Compact"/>
              <w:jc w:val="left"/>
            </w:pPr>
            <m:oMath>
              <m:sSub>
                <m:e>
                  <m:r>
                    <m:t>g</m:t>
                  </m:r>
                </m:e>
                <m:sub>
                  <m:r>
                    <m:t>i</m:t>
                  </m:r>
                  <m:r>
                    <m:t>j</m:t>
                  </m:r>
                </m:sub>
              </m:sSub>
            </m:oMath>
          </w:p>
        </w:tc>
        <w:tc>
          <w:p>
            <w:pPr>
              <w:pStyle w:val="Compact"/>
              <w:jc w:val="left"/>
            </w:pPr>
            <w:r>
              <w:t xml:space="preserve">检测孕周</w:t>
            </w:r>
          </w:p>
        </w:tc>
      </w:tr>
      <w:tr>
        <w:tc>
          <w:p>
            <w:pPr>
              <w:pStyle w:val="Compact"/>
              <w:jc w:val="left"/>
            </w:pPr>
            <m:oMath>
              <m:sSub>
                <m:e>
                  <m:r>
                    <m:t>b</m:t>
                  </m:r>
                </m:e>
                <m:sub>
                  <m:r>
                    <m:t>i</m:t>
                  </m:r>
                </m:sub>
              </m:sSub>
            </m:oMath>
          </w:p>
        </w:tc>
        <w:tc>
          <w:p>
            <w:pPr>
              <w:pStyle w:val="Compact"/>
              <w:jc w:val="left"/>
            </w:pPr>
            <w:r>
              <w:t xml:space="preserve">孕妇</w:t>
            </w:r>
            <m:oMath>
              <m:r>
                <m:t>i</m:t>
              </m:r>
            </m:oMath>
            <w:r>
              <w:t xml:space="preserve">的随机截距</w:t>
            </w:r>
          </w:p>
        </w:tc>
      </w:tr>
      <w:tr>
        <w:tc>
          <w:p>
            <w:pPr>
              <w:pStyle w:val="Compact"/>
              <w:jc w:val="left"/>
            </w:pPr>
            <m:oMath>
              <m:r>
                <m:t>p</m:t>
              </m:r>
              <m:r>
                <m:rPr>
                  <m:sty m:val="p"/>
                </m:rPr>
                <m:t>(</m:t>
              </m:r>
              <m:r>
                <m:t>t</m:t>
              </m:r>
              <m:r>
                <m:rPr>
                  <m:sty m:val="p"/>
                </m:rPr>
                <m:t>∣</m:t>
              </m:r>
              <m:r>
                <m:t>x</m:t>
              </m:r>
              <m:r>
                <m:rPr>
                  <m:sty m:val="p"/>
                </m:rPr>
                <m:t>)</m:t>
              </m:r>
            </m:oMath>
          </w:p>
        </w:tc>
        <w:tc>
          <w:p>
            <w:pPr>
              <w:pStyle w:val="Compact"/>
              <w:jc w:val="left"/>
            </w:pPr>
            <w:r>
              <w:t xml:space="preserve">特征</w:t>
            </w:r>
            <m:oMath>
              <m:r>
                <m:t>x</m:t>
              </m:r>
            </m:oMath>
            <w:r>
              <w:t xml:space="preserve">下孕周</w:t>
            </w:r>
            <m:oMath>
              <m:r>
                <m:t>t</m:t>
              </m:r>
            </m:oMath>
            <w:r>
              <w:t xml:space="preserve">达到浓度阈值的边际概率</w:t>
            </w:r>
          </w:p>
        </w:tc>
      </w:tr>
      <w:tr>
        <w:tc>
          <w:p>
            <w:pPr>
              <w:pStyle w:val="Compact"/>
              <w:jc w:val="left"/>
            </w:pPr>
            <m:oMath>
              <m:r>
                <m:t>R</m:t>
              </m:r>
              <m:r>
                <m:rPr>
                  <m:sty m:val="p"/>
                </m:rPr>
                <m:t>(</m:t>
              </m:r>
              <m:r>
                <m:t>t</m:t>
              </m:r>
              <m:r>
                <m:rPr>
                  <m:sty m:val="p"/>
                </m:rPr>
                <m:t>∣</m:t>
              </m:r>
              <m:r>
                <m:t>x</m:t>
              </m:r>
              <m:r>
                <m:rPr>
                  <m:sty m:val="p"/>
                </m:rPr>
                <m:t>)</m:t>
              </m:r>
            </m:oMath>
          </w:p>
        </w:tc>
        <w:tc>
          <w:p>
            <w:pPr>
              <w:pStyle w:val="Compact"/>
              <w:jc w:val="left"/>
            </w:pPr>
            <w:r>
              <w:t xml:space="preserve">在孕周</w:t>
            </w:r>
            <m:oMath>
              <m:r>
                <m:t>t</m:t>
              </m:r>
            </m:oMath>
            <w:r>
              <w:t xml:space="preserve">检测的条件风险</w:t>
            </w:r>
          </w:p>
        </w:tc>
      </w:tr>
      <w:tr>
        <w:tc>
          <w:p>
            <w:pPr>
              <w:pStyle w:val="Compact"/>
              <w:jc w:val="left"/>
            </w:pPr>
            <m:oMath>
              <m:r>
                <m:t>λ</m:t>
              </m:r>
              <m:r>
                <m:rPr>
                  <m:sty m:val="p"/>
                </m:rPr>
                <m:t>,</m:t>
              </m:r>
              <m:r>
                <m:t>δ</m:t>
              </m:r>
            </m:oMath>
          </w:p>
        </w:tc>
        <w:tc>
          <w:p>
            <w:pPr>
              <w:pStyle w:val="Compact"/>
              <w:jc w:val="left"/>
            </w:pPr>
            <w:r>
              <w:t xml:space="preserve">每周延迟代价与13周起附加代价</w:t>
            </w:r>
          </w:p>
        </w:tc>
      </w:tr>
      <w:tr>
        <w:tc>
          <w:p>
            <w:pPr>
              <w:pStyle w:val="Compact"/>
              <w:jc w:val="left"/>
            </w:pPr>
            <m:oMath>
              <m:sSub>
                <m:e>
                  <m:r>
                    <m:t>q</m:t>
                  </m:r>
                </m:e>
                <m:sub>
                  <m:r>
                    <m:t>i</m:t>
                  </m:r>
                </m:sub>
              </m:sSub>
              <m:r>
                <m:rPr>
                  <m:sty m:val="p"/>
                </m:rPr>
                <m:t>,</m:t>
              </m:r>
              <m:r>
                <m:t>h</m:t>
              </m:r>
            </m:oMath>
          </w:p>
        </w:tc>
        <w:tc>
          <w:p>
            <w:pPr>
              <w:pStyle w:val="Compact"/>
              <w:jc w:val="left"/>
            </w:pPr>
            <w:r>
              <w:t xml:space="preserve">女胎异常预测概率与分类阈值</w:t>
            </w:r>
          </w:p>
        </w:tc>
      </w:tr>
    </w:tbl>
    <w:bookmarkEnd w:id="24"/>
    <w:bookmarkEnd w:id="25"/>
    <w:bookmarkStart w:id="31" w:name="数据审查与预处理"/>
    <w:p>
      <w:pPr>
        <w:pStyle w:val="Heading1"/>
      </w:pPr>
      <w:r>
        <w:t xml:space="preserve">数据审查与预处理</w:t>
      </w:r>
    </w:p>
    <w:p>
      <w:pPr>
        <w:pStyle w:val="BlockText"/>
      </w:pPr>
      <w:r>
        <w:t xml:space="preserve">本节说明为什么把"记录—孕妇"两层结构放在所有建模之前，以及各变量口径如何选择。数据审查中发现的结构性事实（重复测量、左删失、阈值反转）不是可以"清洗掉"的噪声，而是任务本身的一部分：它们决定了该用哪种概率对象、哪类验证以及结论应如何措辞。</w:t>
      </w:r>
    </w:p>
    <w:bookmarkStart w:id="29" w:name="数据层级与样本结构"/>
    <w:p>
      <w:pPr>
        <w:pStyle w:val="Heading2"/>
      </w:pPr>
      <w:r>
        <w:t xml:space="preserve">数据层级与样本结构</w:t>
      </w:r>
    </w:p>
    <w:p>
      <w:pPr>
        <w:pStyle w:val="FirstParagraph"/>
      </w:pPr>
      <w:r>
        <w:t xml:space="preserve">男胎工作表包含1082条测序记录、267名孕妇；女胎工作表包含605条记录、147名孕妇。男胎每位孕妇有1至8条记录，中位数为4条。同一孕妇可能在不同时间重复抽血，也可能在同次抽血下重复测序；前者同时包含随孕周变化和个体差异，后者更接近检测过程波动。图</w:t>
      </w:r>
      <w:hyperlink w:anchor="fig:repeat">
        <w:r>
          <w:rPr>
            <w:rStyle w:val="Hyperlink"/>
          </w:rPr>
          <w:t xml:space="preserve">1</w:t>
        </w:r>
      </w:hyperlink>
      <w:r>
        <w:t xml:space="preserve">显示重复记录数量，说明记录数不能直接当作独立样本量。</w:t>
      </w:r>
    </w:p>
    <w:p>
      <w:pPr>
        <w:pStyle w:val="BodyText"/>
      </w:pPr>
      <w:r>
        <w:t xml:space="preserve">若忽略主体结构把每条记录当作独立样本，会产生三方面问题。其一，样本量被夸大：真正的样本单位是孕妇，记录只是其重复观测，按行计算的置信区间会系统性偏窄。其二，测试集泄漏：同一孕妇在不同孕周的记录高度相关，若其部分记录进入训练集，其余记录进入测试集，则"新个体外推"被偷换成"同一人的内插"。其三，统计推断的对象错位：逐行回归估计的是"记录层面"的关联，而题目关心的是"孕妇层面"的决策对象。因此本文在数据层面对齐了三个层次：孕妇为随机抽样单位（用于分组与验证）、抽血批次为中间层（时间变化来源）、测序记录为观测层（技术波动来源）。</w:t>
      </w:r>
    </w:p>
    <w:bookmarkStart w:id="26" w:name="tab:dataaudit"/>
    <w:p>
      <w:pPr>
        <w:pStyle w:val="TableCaption"/>
      </w:pPr>
      <w:r>
        <w:t xml:space="preserve">数据结构与阈值观测概况</w:t>
      </w:r>
    </w:p>
    <w:tbl>
      <w:tblPr>
        <w:tblStyle w:val="Table"/>
        <w:tblW w:type="pct" w:w="0.0"/>
        <w:tblLook w:firstRow="1" w:lastRow="0" w:firstColumn="0" w:lastColumn="0" w:noHBand="0" w:noVBand="0" w:val="0020"/>
        <w:tblCaption w:val="数据结构与阈值观测概况"/>
      </w:tblPr>
      <w:tblGrid/>
      <w:tr>
        <w:tc>
          <w:p>
            <w:pPr>
              <w:pStyle w:val="Compact"/>
              <w:jc w:val="left"/>
            </w:pPr>
            <w:r>
              <w:t xml:space="preserve">项目</w:t>
            </w:r>
          </w:p>
        </w:tc>
        <w:tc>
          <w:p>
            <w:pPr>
              <w:pStyle w:val="Compact"/>
              <w:jc w:val="center"/>
            </w:pPr>
            <w:r>
              <w:t xml:space="preserve">数值</w:t>
            </w:r>
          </w:p>
        </w:tc>
        <w:tc>
          <w:p>
            <w:pPr>
              <w:pStyle w:val="Compact"/>
              <w:jc w:val="left"/>
            </w:pPr>
            <w:r>
              <w:t xml:space="preserve">建模含义</w:t>
            </w:r>
          </w:p>
        </w:tc>
      </w:tr>
      <w:tr>
        <w:tc>
          <w:p>
            <w:pPr>
              <w:pStyle w:val="Compact"/>
              <w:jc w:val="left"/>
            </w:pPr>
            <w:r>
              <w:t xml:space="preserve">男胎记录／孕妇</w:t>
            </w:r>
          </w:p>
        </w:tc>
        <w:tc>
          <w:p>
            <w:pPr>
              <w:pStyle w:val="Compact"/>
              <w:jc w:val="center"/>
            </w:pPr>
            <w:r>
              <w:t xml:space="preserve">1082／267</w:t>
            </w:r>
          </w:p>
        </w:tc>
        <w:tc>
          <w:p>
            <w:pPr>
              <w:pStyle w:val="Compact"/>
              <w:jc w:val="left"/>
            </w:pPr>
            <w:r>
              <w:t xml:space="preserve">主体分组验证</w:t>
            </w:r>
          </w:p>
        </w:tc>
      </w:tr>
      <w:tr>
        <w:tc>
          <w:p>
            <w:pPr>
              <w:pStyle w:val="Compact"/>
              <w:jc w:val="left"/>
            </w:pPr>
            <w:r>
              <w:t xml:space="preserve">女胎记录／孕妇</w:t>
            </w:r>
          </w:p>
        </w:tc>
        <w:tc>
          <w:p>
            <w:pPr>
              <w:pStyle w:val="Compact"/>
              <w:jc w:val="center"/>
            </w:pPr>
            <w:r>
              <w:t xml:space="preserve">605／147</w:t>
            </w:r>
          </w:p>
        </w:tc>
        <w:tc>
          <w:p>
            <w:pPr>
              <w:pStyle w:val="Compact"/>
              <w:jc w:val="left"/>
            </w:pPr>
            <w:r>
              <w:t xml:space="preserve">稀有标签与主体相关并存</w:t>
            </w:r>
          </w:p>
        </w:tc>
      </w:tr>
      <w:tr>
        <w:tc>
          <w:p>
            <w:pPr>
              <w:pStyle w:val="Compact"/>
              <w:jc w:val="left"/>
            </w:pPr>
            <w:r>
              <w:t xml:space="preserve">男胎每人记录数</w:t>
            </w:r>
          </w:p>
        </w:tc>
        <w:tc>
          <w:p>
            <w:pPr>
              <w:pStyle w:val="Compact"/>
              <w:jc w:val="center"/>
            </w:pPr>
            <w:r>
              <w:t xml:space="preserve">1–8，中位数4</w:t>
            </w:r>
          </w:p>
        </w:tc>
        <w:tc>
          <w:p>
            <w:pPr>
              <w:pStyle w:val="Compact"/>
              <w:jc w:val="left"/>
            </w:pPr>
            <w:r>
              <w:t xml:space="preserve">不得假设独立同分布</w:t>
            </w:r>
          </w:p>
        </w:tc>
      </w:tr>
      <w:tr>
        <w:tc>
          <w:p>
            <w:pPr>
              <w:pStyle w:val="Compact"/>
              <w:jc w:val="left"/>
            </w:pPr>
            <w:r>
              <w:t xml:space="preserve">Y浓度达到4%</w:t>
            </w:r>
          </w:p>
        </w:tc>
        <w:tc>
          <w:p>
            <w:pPr>
              <w:pStyle w:val="Compact"/>
              <w:jc w:val="center"/>
            </w:pPr>
            <w:r>
              <w:t xml:space="preserve">937条</w:t>
            </w:r>
          </w:p>
        </w:tc>
        <w:tc>
          <w:p>
            <w:pPr>
              <w:pStyle w:val="Compact"/>
              <w:jc w:val="left"/>
            </w:pPr>
            <w:r>
              <w:t xml:space="preserve">达标记录占多数</w:t>
            </w:r>
          </w:p>
        </w:tc>
      </w:tr>
      <w:tr>
        <w:tc>
          <w:p>
            <w:pPr>
              <w:pStyle w:val="Compact"/>
              <w:jc w:val="left"/>
            </w:pPr>
            <w:r>
              <w:t xml:space="preserve">Y浓度低于4%</w:t>
            </w:r>
          </w:p>
        </w:tc>
        <w:tc>
          <w:p>
            <w:pPr>
              <w:pStyle w:val="Compact"/>
              <w:jc w:val="center"/>
            </w:pPr>
            <w:r>
              <w:t xml:space="preserve">145条</w:t>
            </w:r>
          </w:p>
        </w:tc>
        <w:tc>
          <w:p>
            <w:pPr>
              <w:pStyle w:val="Compact"/>
              <w:jc w:val="left"/>
            </w:pPr>
            <w:r>
              <w:t xml:space="preserve">保留为早检失败风险信号</w:t>
            </w:r>
          </w:p>
        </w:tc>
      </w:tr>
      <w:tr>
        <w:tc>
          <w:p>
            <w:pPr>
              <w:pStyle w:val="Compact"/>
              <w:jc w:val="left"/>
            </w:pPr>
            <w:r>
              <w:t xml:space="preserve">首次观测已达标</w:t>
            </w:r>
          </w:p>
        </w:tc>
        <w:tc>
          <w:p>
            <w:pPr>
              <w:pStyle w:val="Compact"/>
              <w:jc w:val="center"/>
            </w:pPr>
            <w:r>
              <w:t xml:space="preserve">217名孕妇</w:t>
            </w:r>
          </w:p>
        </w:tc>
        <w:tc>
          <w:p>
            <w:pPr>
              <w:pStyle w:val="Compact"/>
              <w:jc w:val="left"/>
            </w:pPr>
            <w:r>
              <w:t xml:space="preserve">首次达标时间左删失</w:t>
            </w:r>
          </w:p>
        </w:tc>
      </w:tr>
      <w:tr>
        <w:tc>
          <w:p>
            <w:pPr>
              <w:pStyle w:val="Compact"/>
              <w:jc w:val="left"/>
            </w:pPr>
            <w:r>
              <w:t xml:space="preserve">观察到未达标转达标</w:t>
            </w:r>
          </w:p>
        </w:tc>
        <w:tc>
          <w:p>
            <w:pPr>
              <w:pStyle w:val="Compact"/>
              <w:jc w:val="center"/>
            </w:pPr>
            <w:r>
              <w:t xml:space="preserve">43名孕妇</w:t>
            </w:r>
          </w:p>
        </w:tc>
        <w:tc>
          <w:p>
            <w:pPr>
              <w:pStyle w:val="Compact"/>
              <w:jc w:val="left"/>
            </w:pPr>
            <w:r>
              <w:t xml:space="preserve">事件仅能定位于区间</w:t>
            </w:r>
          </w:p>
        </w:tc>
      </w:tr>
      <w:tr>
        <w:tc>
          <w:p>
            <w:pPr>
              <w:pStyle w:val="Compact"/>
              <w:jc w:val="left"/>
            </w:pPr>
            <w:r>
              <w:t xml:space="preserve">阈值反转</w:t>
            </w:r>
          </w:p>
        </w:tc>
        <w:tc>
          <w:p>
            <w:pPr>
              <w:pStyle w:val="Compact"/>
              <w:jc w:val="center"/>
            </w:pPr>
            <w:r>
              <w:t xml:space="preserve">34名孕妇</w:t>
            </w:r>
          </w:p>
        </w:tc>
        <w:tc>
          <w:p>
            <w:pPr>
              <w:pStyle w:val="Compact"/>
              <w:jc w:val="left"/>
            </w:pPr>
            <w:r>
              <w:t xml:space="preserve">达标状态并非严格单调</w:t>
            </w:r>
          </w:p>
        </w:tc>
      </w:tr>
    </w:tbl>
    <w:bookmarkEnd w:id="26"/>
    <w:p>
      <w:pPr>
        <w:pStyle w:val="CaptionedFigure"/>
      </w:pPr>
      <w:bookmarkStart w:id="28" w:name="fig:repeat"/>
      <w:r>
        <w:drawing>
          <wp:inline>
            <wp:extent cx="5334000" cy="3022600"/>
            <wp:effectExtent b="0" l="0" r="0" t="0"/>
            <wp:docPr descr="男胎孕妇的重复记录数量分布" title="" id="1" name="Picture"/>
            <a:graphic>
              <a:graphicData uri="http://schemas.openxmlformats.org/drawingml/2006/picture">
                <pic:pic>
                  <pic:nvPicPr>
                    <pic:cNvPr descr="figures/raw_q1_repeat_counts.png" id="0" name="Picture"/>
                    <pic:cNvPicPr>
                      <a:picLocks noChangeArrowheads="1" noChangeAspect="1"/>
                    </pic:cNvPicPr>
                  </pic:nvPicPr>
                  <pic:blipFill>
                    <a:blip r:embed="rId27"/>
                    <a:stretch>
                      <a:fillRect/>
                    </a:stretch>
                  </pic:blipFill>
                  <pic:spPr bwMode="auto">
                    <a:xfrm>
                      <a:off x="0" y="0"/>
                      <a:ext cx="5334000" cy="3022600"/>
                    </a:xfrm>
                    <a:prstGeom prst="rect">
                      <a:avLst/>
                    </a:prstGeom>
                    <a:noFill/>
                    <a:ln w="9525">
                      <a:noFill/>
                      <a:headEnd/>
                      <a:tailEnd/>
                    </a:ln>
                  </pic:spPr>
                </pic:pic>
              </a:graphicData>
            </a:graphic>
          </wp:inline>
        </w:drawing>
      </w:r>
      <w:bookmarkEnd w:id="28"/>
    </w:p>
    <w:p>
      <w:pPr>
        <w:pStyle w:val="ImageCaption"/>
      </w:pPr>
      <w:r>
        <w:t xml:space="preserve">男胎孕妇的重复记录数量分布</w:t>
      </w:r>
    </w:p>
    <w:p>
      <w:pPr>
        <w:pStyle w:val="BodyText"/>
      </w:pPr>
      <w:r>
        <w:t xml:space="preserve">表</w:t>
      </w:r>
      <w:hyperlink w:anchor="tab:dataaudit">
        <w:r>
          <w:rPr>
            <w:rStyle w:val="Hyperlink"/>
          </w:rPr>
          <w:t xml:space="preserve">2</w:t>
        </w:r>
      </w:hyperlink>
      <w:r>
        <w:t xml:space="preserve">中后三行直接关系到问题二的口径。"首次观测已达标"的217名孕妇说明：附件记录的是"观测时点是否达标"，而不是"生理上首次达标的时刻"——对这部分孕妇，我们只知道其首条记录已经达标，真实达标时刻可能更早（左删失）。"观察到未达标转达标"的43名孕妇提示达标事件在随访期间确实会发生，但其首次达标只能定位到两次检测之间的区间。34名孕妇出现阈值反转（曾达标后又低于阈值），说明把达标状态当作严格单调事件并不稳健。这三类现象共同决定了问题二回答"在给定孕周做一次检测是否达标"的可观测问题，并明确不做"首次达标时刻"的强推断。</w:t>
      </w:r>
    </w:p>
    <w:bookmarkEnd w:id="29"/>
    <w:bookmarkStart w:id="30" w:name="变量口径与信息泄漏防范"/>
    <w:p>
      <w:pPr>
        <w:pStyle w:val="Heading2"/>
      </w:pPr>
      <w:r>
        <w:t xml:space="preserve">变量口径与信息泄漏防范</w:t>
      </w:r>
    </w:p>
    <w:p>
      <w:pPr>
        <w:pStyle w:val="FirstParagraph"/>
      </w:pPr>
      <w:r>
        <w:t xml:space="preserve">孕周统一为连续周数，即整数周加天数除以7；优化输出再换回</w:t>
      </w:r>
      <w:r>
        <w:t xml:space="preserve">“</w:t>
      </w:r>
      <w:r>
        <w:t xml:space="preserve">周和天</w:t>
      </w:r>
      <w:r>
        <w:t xml:space="preserve">”</w:t>
      </w:r>
      <w:r>
        <w:t xml:space="preserve">。百分比变量统一为0至1比例，4%对应0.04。BMI与身高、体重用于一致性审查，但不在小样本模型中无条件同时使用高度共线变量。原始附件不改写，派生变量全部由代码生成。</w:t>
      </w:r>
    </w:p>
    <w:p>
      <w:pPr>
        <w:pStyle w:val="BodyText"/>
      </w:pPr>
      <w:r>
        <w:t xml:space="preserve">口径选择有两条一致原则。其一是时间一致性：所有变量都必须映射到它实际被知晓的时刻。BMI 取孕妇首条记录值，作为"预约前可得的个体特征"代理；同一孕妇的后续记录只提供纵向响应，不反向填充预约时未知的协变量。其二是单位一致性：浓度比例在 0 到 1 之间取值，直接建模会受到边界约束，故对响应做 logit 变换后再进入线性混合模型；而百分比阈值（4%、3.5%、4.5%）在建模与报告中统一为 0–1 比例，避免"0.04"与"4"混用造成数量级错误。</w:t>
      </w:r>
    </w:p>
    <w:p>
      <w:pPr>
        <w:pStyle w:val="BodyText"/>
      </w:pPr>
      <w:r>
        <w:t xml:space="preserve">预约时点模型只能使用预约时已知信息。读段数、过滤比例、GC含量等属于检测后信息，不进入Q2和Q3。Q2使用每位孕妇首条记录BMI作为预约前代理，Q3使用相同基线时点的年龄、身高等变量；这避免将未来记录带入早期预约，但仍是回顾性代理。女胎异常任务不同：其输入在检测后判定时已可获得，故可以使用染色体统计量及测序质量特征。此处区分的不只是变量清单，而是两种决策的语义：预约是前瞻决策，未来信息不可用；判读是回顾决策，检测过程本身产生的信息可以用于结果解释。泄漏防范落实为代码层的三处强制：分组交叉验证的划分只依据孕妇编号；任何缺失填补、标准化、变量筛选都在训练折内估计；OOF 预测在模型定型后一次性生成，不参与后续调参。</w:t>
      </w:r>
    </w:p>
    <w:bookmarkEnd w:id="30"/>
    <w:bookmarkEnd w:id="31"/>
    <w:bookmarkStart w:id="75" w:name="模型的建立与求解"/>
    <w:p>
      <w:pPr>
        <w:pStyle w:val="Heading1"/>
      </w:pPr>
      <w:r>
        <w:t xml:space="preserve">模型的建立与求解</w:t>
      </w:r>
    </w:p>
    <w:bookmarkStart w:id="39" w:name="问题一y染色体浓度的重复测量模型"/>
    <w:p>
      <w:pPr>
        <w:pStyle w:val="Heading2"/>
      </w:pPr>
      <w:r>
        <w:t xml:space="preserve">问题一：Y染色体浓度的重复测量模型</w:t>
      </w:r>
    </w:p>
    <w:p>
      <w:pPr>
        <w:pStyle w:val="FirstParagraph"/>
      </w:pPr>
      <w:r>
        <w:t xml:space="preserve">男胎数据含1082条记录、267名孕妇（与表</w:t>
      </w:r>
      <w:hyperlink w:anchor="tab:dataaudit">
        <w:r>
          <w:rPr>
            <w:rStyle w:val="Hyperlink"/>
          </w:rPr>
          <w:t xml:space="preserve">2</w:t>
        </w:r>
      </w:hyperlink>
      <w:r>
        <w:t xml:space="preserve">口径一致）。将浓度比例作logit变换，主模型为</w:t>
      </w:r>
    </w:p>
    <w:p>
      <w:pPr>
        <w:pStyle w:val="BodyText"/>
      </w:pPr>
      <m:oMathPara>
        <m:oMathParaPr>
          <m:jc m:val="center"/>
        </m:oMathParaPr>
        <m:oMath>
          <m:sSub>
            <m:e>
              <m:r>
                <m:t>z</m:t>
              </m:r>
            </m:e>
            <m:sub>
              <m:r>
                <m:t>i</m:t>
              </m:r>
              <m:r>
                <m:t>j</m:t>
              </m:r>
            </m:sub>
          </m:sSub>
          <m:r>
            <m:rPr>
              <m:sty m:val="p"/>
            </m:rPr>
            <m:t>=</m:t>
          </m:r>
          <m:sSub>
            <m:e>
              <m:r>
                <m:t>β</m:t>
              </m:r>
            </m:e>
            <m:sub>
              <m:r>
                <m:t>0</m:t>
              </m:r>
            </m:sub>
          </m:sSub>
          <m:r>
            <m:rPr>
              <m:sty m:val="p"/>
            </m:rPr>
            <m:t>+</m:t>
          </m:r>
          <m:sSub>
            <m:e>
              <m:r>
                <m:t>β</m:t>
              </m:r>
            </m:e>
            <m:sub>
              <m:r>
                <m:t>1</m:t>
              </m:r>
            </m:sub>
          </m:sSub>
          <m:sSub>
            <m:e>
              <m:r>
                <m:t>g</m:t>
              </m:r>
            </m:e>
            <m:sub>
              <m:r>
                <m:t>i</m:t>
              </m:r>
              <m:r>
                <m:t>j</m:t>
              </m:r>
            </m:sub>
          </m:sSub>
          <m:r>
            <m:rPr>
              <m:sty m:val="p"/>
            </m:rPr>
            <m:t>+</m:t>
          </m:r>
          <m:sSub>
            <m:e>
              <m:r>
                <m:t>β</m:t>
              </m:r>
            </m:e>
            <m:sub>
              <m:r>
                <m:t>2</m:t>
              </m:r>
            </m:sub>
          </m:sSub>
          <m:sSub>
            <m:e>
              <m:r>
                <m:rPr>
                  <m:sty m:val="p"/>
                </m:rPr>
                <m:t>B</m:t>
              </m:r>
              <m:r>
                <m:rPr>
                  <m:sty m:val="p"/>
                </m:rPr>
                <m:t>M</m:t>
              </m:r>
              <m:r>
                <m:rPr>
                  <m:sty m:val="p"/>
                </m:rPr>
                <m:t>I</m:t>
              </m:r>
            </m:e>
            <m:sub>
              <m:r>
                <m:t>i</m:t>
              </m:r>
              <m:r>
                <m:t>j</m:t>
              </m:r>
            </m:sub>
          </m:sSub>
          <m:r>
            <m:rPr>
              <m:sty m:val="p"/>
            </m:rPr>
            <m:t>+</m:t>
          </m:r>
          <m:sSub>
            <m:e>
              <m:r>
                <m:t>β</m:t>
              </m:r>
            </m:e>
            <m:sub>
              <m:r>
                <m:t>3</m:t>
              </m:r>
            </m:sub>
          </m:sSub>
          <m:sSub>
            <m:e>
              <m:r>
                <m:t>g</m:t>
              </m:r>
            </m:e>
            <m:sub>
              <m:r>
                <m:t>i</m:t>
              </m:r>
              <m:r>
                <m:t>j</m:t>
              </m:r>
            </m:sub>
          </m:sSub>
          <m:sSub>
            <m:e>
              <m:r>
                <m:rPr>
                  <m:sty m:val="p"/>
                </m:rPr>
                <m:t>B</m:t>
              </m:r>
              <m:r>
                <m:rPr>
                  <m:sty m:val="p"/>
                </m:rPr>
                <m:t>M</m:t>
              </m:r>
              <m:r>
                <m:rPr>
                  <m:sty m:val="p"/>
                </m:rPr>
                <m:t>I</m:t>
              </m:r>
            </m:e>
            <m:sub>
              <m:r>
                <m:t>i</m:t>
              </m:r>
              <m:r>
                <m:t>j</m:t>
              </m:r>
            </m:sub>
          </m:sSub>
          <m:r>
            <m:rPr>
              <m:sty m:val="p"/>
            </m:rPr>
            <m:t>+</m:t>
          </m:r>
          <m:sSub>
            <m:e>
              <m:r>
                <m:t>b</m:t>
              </m:r>
            </m:e>
            <m:sub>
              <m:r>
                <m:t>i</m:t>
              </m:r>
            </m:sub>
          </m:sSub>
          <m:r>
            <m:rPr>
              <m:sty m:val="p"/>
            </m:rPr>
            <m:t>+</m:t>
          </m:r>
          <m:sSub>
            <m:e>
              <m:r>
                <m:t>ε</m:t>
              </m:r>
            </m:e>
            <m:sub>
              <m:r>
                <m:t>i</m:t>
              </m:r>
              <m:r>
                <m:t>j</m:t>
              </m:r>
            </m:sub>
          </m:sSub>
          <m:r>
            <m:rPr>
              <m:sty m:val="p"/>
            </m:rPr>
            <m:t>,</m:t>
          </m:r>
          <m:r>
            <m:t> </m:t>
          </m:r>
          <m:sSub>
            <m:e>
              <m:r>
                <m:t>b</m:t>
              </m:r>
            </m:e>
            <m:sub>
              <m:r>
                <m:t>i</m:t>
              </m:r>
            </m:sub>
          </m:sSub>
          <m:r>
            <m:rPr>
              <m:sty m:val="p"/>
            </m:rPr>
            <m:t>∼</m:t>
          </m:r>
          <m:r>
            <m:t>N</m:t>
          </m:r>
          <m:r>
            <m:rPr>
              <m:sty m:val="p"/>
            </m:rPr>
            <m:t>(</m:t>
          </m:r>
          <m:r>
            <m:t>0</m:t>
          </m:r>
          <m:r>
            <m:rPr>
              <m:sty m:val="p"/>
            </m:rPr>
            <m:t>,</m:t>
          </m:r>
          <m:sSubSup>
            <m:e>
              <m:r>
                <m:t>σ</m:t>
              </m:r>
            </m:e>
            <m:sub>
              <m:r>
                <m:t>b</m:t>
              </m:r>
            </m:sub>
            <m:sup>
              <m:r>
                <m:t>2</m:t>
              </m:r>
            </m:sup>
          </m:sSubSup>
          <m:r>
            <m:rPr>
              <m:sty m:val="p"/>
            </m:rPr>
            <m:t>)</m:t>
          </m:r>
          <m:r>
            <m:rPr>
              <m:sty m:val="p"/>
            </m:rPr>
            <m:t>.</m:t>
          </m:r>
        </m:oMath>
      </m:oMathPara>
    </w:p>
    <w:p>
      <w:pPr>
        <w:pStyle w:val="FirstParagraph"/>
      </w:pPr>
      <w:r>
        <w:t xml:space="preserve">孕周系数为0.04701、BMI系数为</w:t>
      </w:r>
      <m:oMath>
        <m:r>
          <m:rPr>
            <m:sty m:val="p"/>
          </m:rPr>
          <m:t>−</m:t>
        </m:r>
        <m:r>
          <m:t>0.02446</m:t>
        </m:r>
      </m:oMath>
      <w:r>
        <w:t xml:space="preserve">，交互项没有稳定证据。组内相关系数0.7283表明主体层级不可省略。以孕妇为组作五折外层验证，主模型</w:t>
      </w:r>
      <m:oMath>
        <m:sSup>
          <m:e>
            <m:r>
              <m:t>R</m:t>
            </m:r>
          </m:e>
          <m:sup>
            <m:r>
              <m:t>2</m:t>
            </m:r>
          </m:sup>
        </m:sSup>
        <m:r>
          <m:rPr>
            <m:sty m:val="p"/>
          </m:rPr>
          <m:t>=</m:t>
        </m:r>
        <m:r>
          <m:rPr>
            <m:sty m:val="p"/>
          </m:rPr>
          <m:t>−</m:t>
        </m:r>
        <m:r>
          <m:t>0.0302</m:t>
        </m:r>
      </m:oMath>
      <w:r>
        <w:t xml:space="preserve">；因此显著关联不被解释为对新个体的精确预测。</w:t>
      </w:r>
    </w:p>
    <w:p>
      <w:pPr>
        <w:pStyle w:val="CaptionedFigure"/>
      </w:pPr>
      <w:bookmarkStart w:id="33" w:name="fig:q1effect"/>
      <w:r>
        <w:drawing>
          <wp:inline>
            <wp:extent cx="5334000" cy="3217333"/>
            <wp:effectExtent b="0" l="0" r="0" t="0"/>
            <wp:docPr descr="BMI对Y染色体浓度的边际影响" title="" id="1" name="Picture"/>
            <a:graphic>
              <a:graphicData uri="http://schemas.openxmlformats.org/drawingml/2006/picture">
                <pic:pic>
                  <pic:nvPicPr>
                    <pic:cNvPr descr="figures/result_q1_effect_bmi.png" id="0" name="Picture"/>
                    <pic:cNvPicPr>
                      <a:picLocks noChangeArrowheads="1" noChangeAspect="1"/>
                    </pic:cNvPicPr>
                  </pic:nvPicPr>
                  <pic:blipFill>
                    <a:blip r:embed="rId32"/>
                    <a:stretch>
                      <a:fillRect/>
                    </a:stretch>
                  </pic:blipFill>
                  <pic:spPr bwMode="auto">
                    <a:xfrm>
                      <a:off x="0" y="0"/>
                      <a:ext cx="5334000" cy="3217333"/>
                    </a:xfrm>
                    <a:prstGeom prst="rect">
                      <a:avLst/>
                    </a:prstGeom>
                    <a:noFill/>
                    <a:ln w="9525">
                      <a:noFill/>
                      <a:headEnd/>
                      <a:tailEnd/>
                    </a:ln>
                  </pic:spPr>
                </pic:pic>
              </a:graphicData>
            </a:graphic>
          </wp:inline>
        </w:drawing>
      </w:r>
      <w:bookmarkEnd w:id="33"/>
    </w:p>
    <w:p>
      <w:pPr>
        <w:pStyle w:val="ImageCaption"/>
      </w:pPr>
      <w:r>
        <w:t xml:space="preserve">BMI对Y染色体浓度的边际影响</w:t>
      </w:r>
    </w:p>
    <w:bookmarkStart w:id="38" w:name="系数解释模型对照与结论边界"/>
    <w:p>
      <w:pPr>
        <w:pStyle w:val="Heading3"/>
      </w:pPr>
      <w:r>
        <w:t xml:space="preserve">系数解释、模型对照与结论边界</w:t>
      </w:r>
    </w:p>
    <w:p>
      <w:pPr>
        <w:pStyle w:val="FirstParagraph"/>
      </w:pPr>
      <w:r>
        <w:t xml:space="preserve">表</w:t>
      </w:r>
      <w:hyperlink w:anchor="tab:q1coef">
        <w:r>
          <w:rPr>
            <w:rStyle w:val="Hyperlink"/>
          </w:rPr>
          <w:t xml:space="preserve">3</w:t>
        </w:r>
      </w:hyperlink>
      <w:r>
        <w:t xml:space="preserve">给出固定效应估计。孕周的95%区间为</w:t>
      </w:r>
      <m:oMath>
        <m:r>
          <m:rPr>
            <m:sty m:val="p"/>
          </m:rPr>
          <m:t>[</m:t>
        </m:r>
        <m:r>
          <m:t>0.04214</m:t>
        </m:r>
        <m:r>
          <m:rPr>
            <m:sty m:val="p"/>
          </m:rPr>
          <m:t>,</m:t>
        </m:r>
        <m:r>
          <m:t>0.05187</m:t>
        </m:r>
        <m:r>
          <m:rPr>
            <m:sty m:val="p"/>
          </m:rPr>
          <m:t>]</m:t>
        </m:r>
      </m:oMath>
      <w:r>
        <w:t xml:space="preserve">，BMI的95%区间为</w:t>
      </w:r>
      <m:oMath>
        <m:r>
          <m:rPr>
            <m:sty m:val="p"/>
          </m:rPr>
          <m:t>[</m:t>
        </m:r>
        <m:r>
          <m:rPr>
            <m:sty m:val="p"/>
          </m:rPr>
          <m:t>−</m:t>
        </m:r>
        <m:r>
          <m:t>0.04018</m:t>
        </m:r>
        <m:r>
          <m:rPr>
            <m:sty m:val="p"/>
          </m:rPr>
          <m:t>,</m:t>
        </m:r>
        <m:r>
          <m:rPr>
            <m:sty m:val="p"/>
          </m:rPr>
          <m:t>−</m:t>
        </m:r>
        <m:r>
          <m:t>0.00874</m:t>
        </m:r>
        <m:r>
          <m:rPr>
            <m:sty m:val="p"/>
          </m:rPr>
          <m:t>]</m:t>
        </m:r>
      </m:oMath>
      <w:r>
        <w:t xml:space="preserve">；孕周与BMI交互项区间跨零，故不把它解释为已经证实的调节机制。随机效应模型的条件拟合</w:t>
      </w:r>
      <m:oMath>
        <m:sSup>
          <m:e>
            <m:r>
              <m:t>R</m:t>
            </m:r>
          </m:e>
          <m:sup>
            <m:r>
              <m:t>2</m:t>
            </m:r>
          </m:sup>
        </m:sSup>
      </m:oMath>
      <w:r>
        <w:t xml:space="preserve">约为0.7890，但它使用了已观测孕妇的历史记录来估计其随机截距。该数值不能替代新孕妇的外层预测</w:t>
      </w:r>
      <m:oMath>
        <m:sSup>
          <m:e>
            <m:r>
              <m:t>R</m:t>
            </m:r>
          </m:e>
          <m:sup>
            <m:r>
              <m:t>2</m:t>
            </m:r>
          </m:sup>
        </m:sSup>
      </m:oMath>
      <w:r>
        <w:t xml:space="preserve">。</w:t>
      </w:r>
    </w:p>
    <w:bookmarkStart w:id="34" w:name="tab:q1coef"/>
    <w:p>
      <w:pPr>
        <w:pStyle w:val="TableCaption"/>
      </w:pPr>
      <w:r>
        <w:t xml:space="preserve">Y浓度混合模型的固定效应估计</w:t>
      </w:r>
    </w:p>
    <w:tbl>
      <w:tblPr>
        <w:tblStyle w:val="Table"/>
        <w:tblW w:type="pct" w:w="0.0"/>
        <w:tblLook w:firstRow="1" w:lastRow="0" w:firstColumn="0" w:lastColumn="0" w:noHBand="0" w:noVBand="0" w:val="0020"/>
        <w:tblCaption w:val="Y浓度混合模型的固定效应估计"/>
      </w:tblPr>
      <w:tblGrid/>
      <w:tr>
        <w:tc>
          <w:p>
            <w:pPr>
              <w:pStyle w:val="Compact"/>
              <w:jc w:val="left"/>
            </w:pPr>
            <w:r>
              <w:t xml:space="preserve">项</w:t>
            </w:r>
          </w:p>
        </w:tc>
        <w:tc>
          <w:p>
            <w:pPr>
              <w:pStyle w:val="Compact"/>
              <w:jc w:val="right"/>
            </w:pPr>
            <w:r>
              <w:t xml:space="preserve">系数</w:t>
            </w:r>
          </w:p>
        </w:tc>
        <w:tc>
          <w:p>
            <w:pPr>
              <w:pStyle w:val="Compact"/>
              <w:jc w:val="right"/>
            </w:pPr>
            <w:r>
              <w:t xml:space="preserve">95%区间</w:t>
            </w:r>
          </w:p>
        </w:tc>
        <w:tc>
          <w:p>
            <w:pPr>
              <w:pStyle w:val="Compact"/>
              <w:jc w:val="right"/>
            </w:pPr>
            <m:oMath>
              <m:r>
                <m:t>p</m:t>
              </m:r>
            </m:oMath>
            <w:r>
              <w:t xml:space="preserve">值</w:t>
            </w:r>
          </w:p>
        </w:tc>
      </w:tr>
      <w:tr>
        <w:tc>
          <w:p>
            <w:pPr>
              <w:pStyle w:val="Compact"/>
              <w:jc w:val="left"/>
            </w:pPr>
            <w:r>
              <w:t xml:space="preserve">截距</w:t>
            </w:r>
          </w:p>
        </w:tc>
        <w:tc>
          <w:p>
            <w:pPr>
              <w:pStyle w:val="Compact"/>
              <w:jc w:val="right"/>
            </w:pPr>
            <m:oMath>
              <m:r>
                <m:rPr>
                  <m:sty m:val="p"/>
                </m:rPr>
                <m:t>−</m:t>
              </m:r>
              <m:r>
                <m:t>2.57364</m:t>
              </m:r>
            </m:oMath>
          </w:p>
        </w:tc>
        <w:tc>
          <w:p>
            <w:pPr>
              <w:pStyle w:val="Compact"/>
              <w:jc w:val="right"/>
            </w:pPr>
            <m:oMath>
              <m:r>
                <m:rPr>
                  <m:sty m:val="p"/>
                </m:rPr>
                <m:t>[</m:t>
              </m:r>
              <m:r>
                <m:rPr>
                  <m:sty m:val="p"/>
                </m:rPr>
                <m:t>−</m:t>
              </m:r>
              <m:r>
                <m:t>2.62810</m:t>
              </m:r>
              <m:r>
                <m:rPr>
                  <m:sty m:val="p"/>
                </m:rPr>
                <m:t>,</m:t>
              </m:r>
              <m:r>
                <m:rPr>
                  <m:sty m:val="p"/>
                </m:rPr>
                <m:t>−</m:t>
              </m:r>
              <m:r>
                <m:t>2.51918</m:t>
              </m:r>
              <m:r>
                <m:rPr>
                  <m:sty m:val="p"/>
                </m:rPr>
                <m:t>]</m:t>
              </m:r>
            </m:oMath>
          </w:p>
        </w:tc>
        <w:tc>
          <w:p>
            <w:pPr>
              <w:pStyle w:val="Compact"/>
              <w:jc w:val="right"/>
            </w:pPr>
            <w:r>
              <w:t xml:space="preserve">–</w:t>
            </w:r>
          </w:p>
        </w:tc>
      </w:tr>
      <w:tr>
        <w:tc>
          <w:p>
            <w:pPr>
              <w:pStyle w:val="Compact"/>
              <w:jc w:val="left"/>
            </w:pPr>
            <w:r>
              <w:t xml:space="preserve">中心化孕周</w:t>
            </w:r>
          </w:p>
        </w:tc>
        <w:tc>
          <w:p>
            <w:pPr>
              <w:pStyle w:val="Compact"/>
              <w:jc w:val="right"/>
            </w:pPr>
            <w:r>
              <w:t xml:space="preserve">0.04701</w:t>
            </w:r>
          </w:p>
        </w:tc>
        <w:tc>
          <w:p>
            <w:pPr>
              <w:pStyle w:val="Compact"/>
              <w:jc w:val="right"/>
            </w:pPr>
            <m:oMath>
              <m:r>
                <m:rPr>
                  <m:sty m:val="p"/>
                </m:rPr>
                <m:t>[</m:t>
              </m:r>
              <m:r>
                <m:t>0.04214</m:t>
              </m:r>
              <m:r>
                <m:rPr>
                  <m:sty m:val="p"/>
                </m:rPr>
                <m:t>,</m:t>
              </m:r>
              <m:r>
                <m:t>0.05187</m:t>
              </m:r>
              <m:r>
                <m:rPr>
                  <m:sty m:val="p"/>
                </m:rPr>
                <m:t>]</m:t>
              </m:r>
            </m:oMath>
          </w:p>
        </w:tc>
        <w:tc>
          <w:p>
            <w:pPr>
              <w:pStyle w:val="Compact"/>
              <w:jc w:val="right"/>
            </w:pPr>
            <m:oMath>
              <m:r>
                <m:t>4.57</m:t>
              </m:r>
              <m:r>
                <m:rPr>
                  <m:sty m:val="p"/>
                </m:rPr>
                <m:t>×</m:t>
              </m:r>
              <m:sSup>
                <m:e>
                  <m:r>
                    <m:t>10</m:t>
                  </m:r>
                </m:e>
                <m:sup>
                  <m:r>
                    <m:rPr>
                      <m:sty m:val="p"/>
                    </m:rPr>
                    <m:t>−</m:t>
                  </m:r>
                  <m:r>
                    <m:t>80</m:t>
                  </m:r>
                </m:sup>
              </m:sSup>
            </m:oMath>
          </w:p>
        </w:tc>
      </w:tr>
      <w:tr>
        <w:tc>
          <w:p>
            <w:pPr>
              <w:pStyle w:val="Compact"/>
              <w:jc w:val="left"/>
            </w:pPr>
            <w:r>
              <w:t xml:space="preserve">中心化BMI</w:t>
            </w:r>
          </w:p>
        </w:tc>
        <w:tc>
          <w:p>
            <w:pPr>
              <w:pStyle w:val="Compact"/>
              <w:jc w:val="right"/>
            </w:pPr>
            <m:oMath>
              <m:r>
                <m:rPr>
                  <m:sty m:val="p"/>
                </m:rPr>
                <m:t>−</m:t>
              </m:r>
              <m:r>
                <m:t>0.02446</m:t>
              </m:r>
            </m:oMath>
          </w:p>
        </w:tc>
        <w:tc>
          <w:p>
            <w:pPr>
              <w:pStyle w:val="Compact"/>
              <w:jc w:val="right"/>
            </w:pPr>
            <m:oMath>
              <m:r>
                <m:rPr>
                  <m:sty m:val="p"/>
                </m:rPr>
                <m:t>[</m:t>
              </m:r>
              <m:r>
                <m:rPr>
                  <m:sty m:val="p"/>
                </m:rPr>
                <m:t>−</m:t>
              </m:r>
              <m:r>
                <m:t>0.04018</m:t>
              </m:r>
              <m:r>
                <m:rPr>
                  <m:sty m:val="p"/>
                </m:rPr>
                <m:t>,</m:t>
              </m:r>
              <m:r>
                <m:rPr>
                  <m:sty m:val="p"/>
                </m:rPr>
                <m:t>−</m:t>
              </m:r>
              <m:r>
                <m:t>0.00874</m:t>
              </m:r>
              <m:r>
                <m:rPr>
                  <m:sty m:val="p"/>
                </m:rPr>
                <m:t>]</m:t>
              </m:r>
            </m:oMath>
          </w:p>
        </w:tc>
        <w:tc>
          <w:p>
            <w:pPr>
              <w:pStyle w:val="Compact"/>
              <w:jc w:val="right"/>
            </w:pPr>
            <w:r>
              <w:t xml:space="preserve">0.00229</w:t>
            </w:r>
          </w:p>
        </w:tc>
      </w:tr>
      <w:tr>
        <w:tc>
          <w:p>
            <w:pPr>
              <w:pStyle w:val="Compact"/>
              <w:jc w:val="left"/>
            </w:pPr>
            <w:r>
              <w:t xml:space="preserve">孕周</w:t>
            </w:r>
            <m:oMath>
              <m:r>
                <m:rPr>
                  <m:sty m:val="p"/>
                </m:rPr>
                <m:t>×</m:t>
              </m:r>
            </m:oMath>
            <w:r>
              <w:t xml:space="preserve">BMI</w:t>
            </w:r>
          </w:p>
        </w:tc>
        <w:tc>
          <w:p>
            <w:pPr>
              <w:pStyle w:val="Compact"/>
              <w:jc w:val="right"/>
            </w:pPr>
            <w:r>
              <w:t xml:space="preserve">0.00120</w:t>
            </w:r>
          </w:p>
        </w:tc>
        <w:tc>
          <w:p>
            <w:pPr>
              <w:pStyle w:val="Compact"/>
              <w:jc w:val="right"/>
            </w:pPr>
            <m:oMath>
              <m:r>
                <m:rPr>
                  <m:sty m:val="p"/>
                </m:rPr>
                <m:t>[</m:t>
              </m:r>
              <m:r>
                <m:rPr>
                  <m:sty m:val="p"/>
                </m:rPr>
                <m:t>−</m:t>
              </m:r>
              <m:r>
                <m:t>0.00022</m:t>
              </m:r>
              <m:r>
                <m:rPr>
                  <m:sty m:val="p"/>
                </m:rPr>
                <m:t>,</m:t>
              </m:r>
              <m:r>
                <m:t>0.00262</m:t>
              </m:r>
              <m:r>
                <m:rPr>
                  <m:sty m:val="p"/>
                </m:rPr>
                <m:t>]</m:t>
              </m:r>
            </m:oMath>
          </w:p>
        </w:tc>
        <w:tc>
          <w:p>
            <w:pPr>
              <w:pStyle w:val="Compact"/>
              <w:jc w:val="right"/>
            </w:pPr>
            <w:r>
              <w:t xml:space="preserve">0.09680</w:t>
            </w:r>
          </w:p>
        </w:tc>
      </w:tr>
    </w:tbl>
    <w:bookmarkEnd w:id="34"/>
    <w:p>
      <w:pPr>
        <w:pStyle w:val="CaptionedFigure"/>
      </w:pPr>
      <w:bookmarkStart w:id="36" w:name="fig:q1week"/>
      <w:r>
        <w:drawing>
          <wp:inline>
            <wp:extent cx="5334000" cy="3217333"/>
            <wp:effectExtent b="0" l="0" r="0" t="0"/>
            <wp:docPr descr="孕周与Y染色体浓度的模型关联曲线" title="" id="1" name="Picture"/>
            <a:graphic>
              <a:graphicData uri="http://schemas.openxmlformats.org/drawingml/2006/picture">
                <pic:pic>
                  <pic:nvPicPr>
                    <pic:cNvPr descr="figures/result_q1_effect_gestational_week.png" id="0" name="Picture"/>
                    <pic:cNvPicPr>
                      <a:picLocks noChangeArrowheads="1" noChangeAspect="1"/>
                    </pic:cNvPicPr>
                  </pic:nvPicPr>
                  <pic:blipFill>
                    <a:blip r:embed="rId35"/>
                    <a:stretch>
                      <a:fillRect/>
                    </a:stretch>
                  </pic:blipFill>
                  <pic:spPr bwMode="auto">
                    <a:xfrm>
                      <a:off x="0" y="0"/>
                      <a:ext cx="5334000" cy="3217333"/>
                    </a:xfrm>
                    <a:prstGeom prst="rect">
                      <a:avLst/>
                    </a:prstGeom>
                    <a:noFill/>
                    <a:ln w="9525">
                      <a:noFill/>
                      <a:headEnd/>
                      <a:tailEnd/>
                    </a:ln>
                  </pic:spPr>
                </pic:pic>
              </a:graphicData>
            </a:graphic>
          </wp:inline>
        </w:drawing>
      </w:r>
      <w:bookmarkEnd w:id="36"/>
    </w:p>
    <w:p>
      <w:pPr>
        <w:pStyle w:val="ImageCaption"/>
      </w:pPr>
      <w:r>
        <w:t xml:space="preserve">孕周与Y染色体浓度的模型关联曲线</w:t>
      </w:r>
    </w:p>
    <w:p>
      <w:pPr>
        <w:pStyle w:val="BodyText"/>
      </w:pPr>
      <w:r>
        <w:t xml:space="preserve">为检验线性设定，以低维自然三次加性样条替代线性孕周、BMI项，仍保留孕妇随机截距；样条自由度仅在外层训练集内选择。表</w:t>
      </w:r>
      <w:hyperlink w:anchor="tab:q1compare">
        <w:r>
          <w:rPr>
            <w:rStyle w:val="Hyperlink"/>
          </w:rPr>
          <w:t xml:space="preserve">4</w:t>
        </w:r>
      </w:hyperlink>
      <w:r>
        <w:t xml:space="preserve">显示样条的记录级误差略低，但主体平均误差差异很小，故保留线性混合模型作为主解释工具。它的优势是关系清晰，而不是宣称其个体预测充分准确。</w:t>
      </w:r>
    </w:p>
    <w:p>
      <w:pPr>
        <w:pStyle w:val="BodyText"/>
      </w:pPr>
      <w:r>
        <w:t xml:space="preserve">对表</w:t>
      </w:r>
      <w:hyperlink w:anchor="tab:q1compare">
        <w:r>
          <w:rPr>
            <w:rStyle w:val="Hyperlink"/>
          </w:rPr>
          <w:t xml:space="preserve">4</w:t>
        </w:r>
      </w:hyperlink>
      <w:r>
        <w:t xml:space="preserve">需要说明比较对象与口径。误差按"记录级"与"主体平均"两个层面汇总：记录级 RMSE 把每条观测视作一个误差项，主体平均 RMSE 先把同一孕妇多条预测误差平均再汇总，后者与新孕妇决策的口径一致。两种模型在主体平均口径上的差异远小于各自的验证不确定性，说明样条带来的增益主要体现在对已观测孕妇记录的重新拟合上，而对"未见孕妇"的外推没有实质改进。这与正文的结论分层一致：线性混合模型作为关联解释的主模型是出于清晰与稳健，不是因为它具备更强的个体预测能力。因此问题一的最终表述同时给出三层信息——显著系数（关联存在）、条件拟合表现（对已知孕妇）与主体留出外推表现（对未知孕妇），避免把任一层单独陈述为问题一的完整答案。</w:t>
      </w:r>
    </w:p>
    <w:p>
      <w:pPr>
        <w:pStyle w:val="BodyText"/>
      </w:pPr>
      <w:r>
        <w:t xml:space="preserve">在模型设定层面还处理了两个细节。其一，孕周与BMI都做了中心化处理，使截距对应平均孕周、平均BMI处的预测，固定效应系数可直接解读为在该中心点的边际斜率，同时降低交互项与主效应之间的数值相关性；表</w:t>
      </w:r>
      <w:hyperlink w:anchor="tab:q1coef">
        <w:r>
          <w:rPr>
            <w:rStyle w:val="Hyperlink"/>
          </w:rPr>
          <w:t xml:space="preserve">3</w:t>
        </w:r>
      </w:hyperlink>
      <w:r>
        <w:t xml:space="preserve">报告的就是中心化口径下的估计。其二，对数几率（logit）变换将浓度比例</w:t>
      </w:r>
      <m:oMath>
        <m:r>
          <m:rPr>
            <m:sty m:val="p"/>
          </m:rPr>
          <m:t>(</m:t>
        </m:r>
        <m:r>
          <m:t>0</m:t>
        </m:r>
        <m:r>
          <m:rPr>
            <m:sty m:val="p"/>
          </m:rPr>
          <m:t>,</m:t>
        </m:r>
        <m:r>
          <m:t>1</m:t>
        </m:r>
        <m:r>
          <m:rPr>
            <m:sty m:val="p"/>
          </m:rPr>
          <m:t>)</m:t>
        </m:r>
      </m:oMath>
      <w:r>
        <w:t xml:space="preserve">映射到实数轴，避免线性模型预测越出可行区间，也使方差结构在变换尺度上更接近正态假设；报告时若需要浓度比例尺度上的直观解释，可用逆变换回推典型取值，但本文的推断、区间与验证都发生在logit尺度上，不作尺度间的乐观外推。</w:t>
      </w:r>
    </w:p>
    <w:bookmarkStart w:id="37" w:name="tab:q1compare"/>
    <w:p>
      <w:pPr>
        <w:pStyle w:val="TableCaption"/>
      </w:pPr>
      <w:r>
        <w:t xml:space="preserve">问题一的新孕妇预测比较</w:t>
      </w:r>
    </w:p>
    <w:tbl>
      <w:tblPr>
        <w:tblStyle w:val="Table"/>
        <w:tblW w:type="pct" w:w="0.0"/>
        <w:tblLook w:firstRow="1" w:lastRow="0" w:firstColumn="0" w:lastColumn="0" w:noHBand="0" w:noVBand="0" w:val="0020"/>
        <w:tblCaption w:val="问题一的新孕妇预测比较"/>
      </w:tblPr>
      <w:tblGrid/>
      <w:tr>
        <w:tc>
          <w:p>
            <w:pPr>
              <w:pStyle w:val="Compact"/>
              <w:jc w:val="left"/>
            </w:pPr>
            <w:r>
              <w:t xml:space="preserve">模型</w:t>
            </w:r>
          </w:p>
        </w:tc>
        <w:tc>
          <w:p>
            <w:pPr>
              <w:pStyle w:val="Compact"/>
              <w:jc w:val="right"/>
            </w:pPr>
            <w:r>
              <w:t xml:space="preserve">记录RMSE</w:t>
            </w:r>
          </w:p>
        </w:tc>
        <w:tc>
          <w:p>
            <w:pPr>
              <w:pStyle w:val="Compact"/>
              <w:jc w:val="right"/>
            </w:pPr>
            <w:r>
              <w:t xml:space="preserve">记录MAE</w:t>
            </w:r>
          </w:p>
        </w:tc>
        <w:tc>
          <w:p>
            <w:pPr>
              <w:pStyle w:val="Compact"/>
              <w:jc w:val="right"/>
            </w:pPr>
            <w:r>
              <w:t xml:space="preserve">记录</w:t>
            </w:r>
            <m:oMath>
              <m:sSup>
                <m:e>
                  <m:r>
                    <m:t>R</m:t>
                  </m:r>
                </m:e>
                <m:sup>
                  <m:r>
                    <m:t>2</m:t>
                  </m:r>
                </m:sup>
              </m:sSup>
            </m:oMath>
          </w:p>
        </w:tc>
        <w:tc>
          <w:p>
            <w:pPr>
              <w:pStyle w:val="Compact"/>
              <w:jc w:val="right"/>
            </w:pPr>
            <w:r>
              <w:t xml:space="preserve">主体平均RMSE</w:t>
            </w:r>
          </w:p>
        </w:tc>
      </w:tr>
      <w:tr>
        <w:tc>
          <w:p>
            <w:pPr>
              <w:pStyle w:val="Compact"/>
              <w:jc w:val="left"/>
            </w:pPr>
            <w:r>
              <w:t xml:space="preserve">线性混合模型</w:t>
            </w:r>
          </w:p>
        </w:tc>
        <w:tc>
          <w:p>
            <w:pPr>
              <w:pStyle w:val="Compact"/>
              <w:jc w:val="right"/>
            </w:pPr>
            <w:r>
              <w:t xml:space="preserve">0.51406</w:t>
            </w:r>
          </w:p>
        </w:tc>
        <w:tc>
          <w:p>
            <w:pPr>
              <w:pStyle w:val="Compact"/>
              <w:jc w:val="right"/>
            </w:pPr>
            <w:r>
              <w:t xml:space="preserve">0.42321</w:t>
            </w:r>
          </w:p>
        </w:tc>
        <w:tc>
          <w:p>
            <w:pPr>
              <w:pStyle w:val="Compact"/>
              <w:jc w:val="right"/>
            </w:pPr>
            <m:oMath>
              <m:r>
                <m:rPr>
                  <m:sty m:val="p"/>
                </m:rPr>
                <m:t>−</m:t>
              </m:r>
              <m:r>
                <m:t>0.03023</m:t>
              </m:r>
            </m:oMath>
          </w:p>
        </w:tc>
        <w:tc>
          <w:p>
            <w:pPr>
              <w:pStyle w:val="Compact"/>
              <w:jc w:val="right"/>
            </w:pPr>
            <w:r>
              <w:t xml:space="preserve">0.50628</w:t>
            </w:r>
          </w:p>
        </w:tc>
      </w:tr>
      <w:tr>
        <w:tc>
          <w:p>
            <w:pPr>
              <w:pStyle w:val="Compact"/>
              <w:jc w:val="left"/>
            </w:pPr>
            <w:r>
              <w:t xml:space="preserve">加性样条混合模型</w:t>
            </w:r>
          </w:p>
        </w:tc>
        <w:tc>
          <w:p>
            <w:pPr>
              <w:pStyle w:val="Compact"/>
              <w:jc w:val="right"/>
            </w:pPr>
            <w:r>
              <w:t xml:space="preserve">0.50717</w:t>
            </w:r>
          </w:p>
        </w:tc>
        <w:tc>
          <w:p>
            <w:pPr>
              <w:pStyle w:val="Compact"/>
              <w:jc w:val="right"/>
            </w:pPr>
            <w:r>
              <w:t xml:space="preserve">0.41598</w:t>
            </w:r>
          </w:p>
        </w:tc>
        <w:tc>
          <w:p>
            <w:pPr>
              <w:pStyle w:val="Compact"/>
              <w:jc w:val="right"/>
            </w:pPr>
            <m:oMath>
              <m:r>
                <m:rPr>
                  <m:sty m:val="p"/>
                </m:rPr>
                <m:t>−</m:t>
              </m:r>
              <m:r>
                <m:t>0.00278</m:t>
              </m:r>
            </m:oMath>
          </w:p>
        </w:tc>
        <w:tc>
          <w:p>
            <w:pPr>
              <w:pStyle w:val="Compact"/>
              <w:jc w:val="right"/>
            </w:pPr>
            <w:r>
              <w:t xml:space="preserve">0.50083</w:t>
            </w:r>
          </w:p>
        </w:tc>
      </w:tr>
    </w:tbl>
    <w:bookmarkEnd w:id="37"/>
    <w:bookmarkEnd w:id="38"/>
    <w:bookmarkEnd w:id="39"/>
    <w:bookmarkStart w:id="48" w:name="问题二达标概率风险函数与bmi分组"/>
    <w:p>
      <w:pPr>
        <w:pStyle w:val="Heading2"/>
      </w:pPr>
      <w:r>
        <w:t xml:space="preserve">问题二：达标概率、风险函数与BMI分组</w:t>
      </w:r>
    </w:p>
    <w:p>
      <w:pPr>
        <w:pStyle w:val="FirstParagraph"/>
      </w:pPr>
      <w:r>
        <w:t xml:space="preserve">问题二在建模上分三步走，每一步对应一个明确的概率或决策对象，避免把"预测达标概率"与"决定何时检测"混为一个黑箱。第一步先定义事件：对男胎第</w:t>
      </w:r>
      <m:oMath>
        <m:r>
          <m:t>i</m:t>
        </m:r>
      </m:oMath>
      <w:r>
        <w:t xml:space="preserve">名孕妇第</w:t>
      </w:r>
      <m:oMath>
        <m:r>
          <m:t>j</m:t>
        </m:r>
      </m:oMath>
      <w:r>
        <w:t xml:space="preserve">次记录，令达标事件</w:t>
      </w:r>
      <m:oMath>
        <m:sSub>
          <m:e>
            <m:r>
              <m:t>A</m:t>
            </m:r>
          </m:e>
          <m:sub>
            <m:r>
              <m:t>i</m:t>
            </m:r>
            <m:r>
              <m:t>j</m:t>
            </m:r>
          </m:sub>
        </m:sSub>
        <m:r>
          <m:rPr>
            <m:sty m:val="p"/>
          </m:rPr>
          <m:t>=</m:t>
        </m:r>
        <m:r>
          <m:t>I</m:t>
        </m:r>
        <m:r>
          <m:rPr>
            <m:sty m:val="p"/>
          </m:rPr>
          <m:t>(</m:t>
        </m:r>
        <m:sSub>
          <m:e>
            <m:r>
              <m:t>Y</m:t>
            </m:r>
          </m:e>
          <m:sub>
            <m:r>
              <m:t>i</m:t>
            </m:r>
            <m:r>
              <m:t>j</m:t>
            </m:r>
          </m:sub>
        </m:sSub>
        <m:r>
          <m:rPr>
            <m:sty m:val="p"/>
          </m:rPr>
          <m:t>≥</m:t>
        </m:r>
        <m:r>
          <m:t>0.04</m:t>
        </m:r>
        <m:r>
          <m:rPr>
            <m:sty m:val="p"/>
          </m:rPr>
          <m:t>)</m:t>
        </m:r>
      </m:oMath>
      <w:r>
        <w:t xml:space="preserve">，即该次检测的Y浓度比例是否达到4%。由于同一孕妇存在多条记录且个体间存在稳定差异，简单地对全部记录拟合一个不含随机效应的二项模型，等价于假设给定孕周与BMI后各次检测相互独立，这与表</w:t>
      </w:r>
      <w:hyperlink w:anchor="tab:dataaudit">
        <w:r>
          <w:rPr>
            <w:rStyle w:val="Hyperlink"/>
          </w:rPr>
          <w:t xml:space="preserve">2</w:t>
        </w:r>
      </w:hyperlink>
      <w:r>
        <w:t xml:space="preserve">显示的重复测量结构相矛盾。因此在logit连接下拟合带随机截距的二项混合模型，用随机截距吸收同一孕妇跨记录的相关。</w:t>
      </w:r>
    </w:p>
    <w:p>
      <w:pPr>
        <w:pStyle w:val="BodyText"/>
      </w:pPr>
      <w:r>
        <w:t xml:space="preserve">第二步给出面向"新孕妇"的概率对象。混合模型估计的是条件概率</w:t>
      </w:r>
      <m:oMath>
        <m:sSup>
          <m:e>
            <m:r>
              <m:rPr>
                <m:sty m:val="p"/>
              </m:rPr>
              <m:t>l</m:t>
            </m:r>
            <m:r>
              <m:rPr>
                <m:sty m:val="p"/>
              </m:rPr>
              <m:t>o</m:t>
            </m:r>
            <m:r>
              <m:rPr>
                <m:sty m:val="p"/>
              </m:rPr>
              <m:t>g</m:t>
            </m:r>
            <m:r>
              <m:rPr>
                <m:sty m:val="p"/>
              </m:rPr>
              <m:t>i</m:t>
            </m:r>
            <m:r>
              <m:rPr>
                <m:sty m:val="p"/>
              </m:rPr>
              <m:t>t</m:t>
            </m:r>
          </m:e>
          <m:sup>
            <m:r>
              <m:rPr>
                <m:sty m:val="p"/>
              </m:rPr>
              <m:t>−</m:t>
            </m:r>
            <m:r>
              <m:t>1</m:t>
            </m:r>
          </m:sup>
        </m:sSup>
        <m:r>
          <m:rPr>
            <m:sty m:val="p"/>
          </m:rPr>
          <m:t>{</m:t>
        </m:r>
        <m:r>
          <m:t>η</m:t>
        </m:r>
        <m:r>
          <m:rPr>
            <m:sty m:val="p"/>
          </m:rPr>
          <m:t>(</m:t>
        </m:r>
        <m:r>
          <m:t>t</m:t>
        </m:r>
        <m:r>
          <m:rPr>
            <m:sty m:val="p"/>
          </m:rPr>
          <m:t>,</m:t>
        </m:r>
        <m:r>
          <m:t>x</m:t>
        </m:r>
        <m:r>
          <m:rPr>
            <m:sty m:val="p"/>
          </m:rPr>
          <m:t>)</m:t>
        </m:r>
        <m:r>
          <m:rPr>
            <m:sty m:val="p"/>
          </m:rPr>
          <m:t>+</m:t>
        </m:r>
        <m:sSub>
          <m:e>
            <m:r>
              <m:t>b</m:t>
            </m:r>
          </m:e>
          <m:sub>
            <m:r>
              <m:t>i</m:t>
            </m:r>
          </m:sub>
        </m:sSub>
        <m:r>
          <m:rPr>
            <m:sty m:val="p"/>
          </m:rPr>
          <m:t>}</m:t>
        </m:r>
      </m:oMath>
      <w:r>
        <w:t xml:space="preserve">，其中随机截距</w:t>
      </w:r>
      <m:oMath>
        <m:sSub>
          <m:e>
            <m:r>
              <m:t>b</m:t>
            </m:r>
          </m:e>
          <m:sub>
            <m:r>
              <m:t>i</m:t>
            </m:r>
          </m:sub>
        </m:sSub>
      </m:oMath>
      <w:r>
        <w:t xml:space="preserve">是针对已知孕妇的。要回答"一名我们从未见过、特征为</w:t>
      </w:r>
      <m:oMath>
        <m:r>
          <m:t>x</m:t>
        </m:r>
      </m:oMath>
      <w:r>
        <w:t xml:space="preserve">的孕妇在孕周</w:t>
      </w:r>
      <m:oMath>
        <m:r>
          <m:t>t</m:t>
        </m:r>
      </m:oMath>
      <w:r>
        <w:t xml:space="preserve">检测达标的概率"，必须对随机效应的总体分布求平均，得到边际达标概率：</w:t>
      </w:r>
    </w:p>
    <w:p>
      <w:pPr>
        <w:pStyle w:val="BodyText"/>
      </w:pPr>
      <m:oMathPara>
        <m:oMathParaPr>
          <m:jc m:val="center"/>
        </m:oMathParaPr>
        <m:oMath>
          <m:r>
            <m:t>p</m:t>
          </m:r>
          <m:r>
            <m:rPr>
              <m:sty m:val="p"/>
            </m:rPr>
            <m:t>(</m:t>
          </m:r>
          <m:r>
            <m:t>t</m:t>
          </m:r>
          <m:r>
            <m:rPr>
              <m:sty m:val="p"/>
            </m:rPr>
            <m:t>∣</m:t>
          </m:r>
          <m:r>
            <m:t>x</m:t>
          </m:r>
          <m:r>
            <m:rPr>
              <m:sty m:val="p"/>
            </m:rPr>
            <m:t>)</m:t>
          </m:r>
          <m:r>
            <m:rPr>
              <m:sty m:val="p"/>
            </m:rPr>
            <m:t>=</m:t>
          </m:r>
          <m:r>
            <m:rPr>
              <m:sty m:val="p"/>
            </m:rPr>
            <m:t>∫</m:t>
          </m:r>
          <m:sSup>
            <m:e>
              <m:r>
                <m:rPr>
                  <m:nor/>
                  <m:sty m:val="p"/>
                </m:rPr>
                <m:t>logit</m:t>
              </m:r>
            </m:e>
            <m:sup>
              <m:r>
                <m:rPr>
                  <m:sty m:val="p"/>
                </m:rPr>
                <m:t>−</m:t>
              </m:r>
              <m:r>
                <m:t>1</m:t>
              </m:r>
            </m:sup>
          </m:sSup>
          <m:r>
            <m:rPr>
              <m:sty m:val="p"/>
            </m:rPr>
            <m:t>{</m:t>
          </m:r>
          <m:r>
            <m:t>η</m:t>
          </m:r>
          <m:r>
            <m:rPr>
              <m:sty m:val="p"/>
            </m:rPr>
            <m:t>(</m:t>
          </m:r>
          <m:r>
            <m:t>t</m:t>
          </m:r>
          <m:r>
            <m:rPr>
              <m:sty m:val="p"/>
            </m:rPr>
            <m:t>,</m:t>
          </m:r>
          <m:r>
            <m:t>x</m:t>
          </m:r>
          <m:r>
            <m:rPr>
              <m:sty m:val="p"/>
            </m:rPr>
            <m:t>)</m:t>
          </m:r>
          <m:r>
            <m:rPr>
              <m:sty m:val="p"/>
            </m:rPr>
            <m:t>+</m:t>
          </m:r>
          <m:r>
            <m:t>b</m:t>
          </m:r>
          <m:r>
            <m:rPr>
              <m:sty m:val="p"/>
            </m:rPr>
            <m:t>}</m:t>
          </m:r>
          <m:r>
            <m:t>ϕ</m:t>
          </m:r>
          <m:r>
            <m:rPr>
              <m:sty m:val="p"/>
            </m:rPr>
            <m:t>(</m:t>
          </m:r>
          <m:r>
            <m:t>b</m:t>
          </m:r>
          <m:r>
            <m:rPr>
              <m:sty m:val="p"/>
            </m:rPr>
            <m:t>;</m:t>
          </m:r>
          <m:r>
            <m:t>0</m:t>
          </m:r>
          <m:r>
            <m:rPr>
              <m:sty m:val="p"/>
            </m:rPr>
            <m:t>,</m:t>
          </m:r>
          <m:sSubSup>
            <m:e>
              <m:r>
                <m:t>σ</m:t>
              </m:r>
            </m:e>
            <m:sub>
              <m:r>
                <m:t>b</m:t>
              </m:r>
            </m:sub>
            <m:sup>
              <m:r>
                <m:t>2</m:t>
              </m:r>
            </m:sup>
          </m:sSubSup>
          <m:r>
            <m:rPr>
              <m:sty m:val="p"/>
            </m:rPr>
            <m:t>)</m:t>
          </m:r>
          <m:r>
            <m:t> </m:t>
          </m:r>
          <m:r>
            <m:t>d</m:t>
          </m:r>
          <m:r>
            <m:t>b</m:t>
          </m:r>
          <m:r>
            <m:rPr>
              <m:sty m:val="p"/>
            </m:rPr>
            <m:t>.</m:t>
          </m:r>
        </m:oMath>
      </m:oMathPara>
    </w:p>
    <w:p>
      <w:pPr>
        <w:pStyle w:val="FirstParagraph"/>
      </w:pPr>
      <w:r>
        <w:t xml:space="preserve">其中</w:t>
      </w:r>
      <m:oMath>
        <m:r>
          <m:t>x</m:t>
        </m:r>
      </m:oMath>
      <w:r>
        <w:t xml:space="preserve">为BMI。式</w:t>
      </w:r>
      <w:hyperlink w:anchor="eq:prob">
        <w:r>
          <w:rPr>
            <w:rStyle w:val="Hyperlink"/>
          </w:rPr>
          <w:t xml:space="preserve">[eq:prob]</w:t>
        </w:r>
      </w:hyperlink>
      <w:r>
        <w:t xml:space="preserve">与"把随机截距直接设为零"的条件概率不同：后者忽略了孕妇间差异的混合作用，在非线性连接下系统性低估或高估平均概率；本文按随机效应分布的数值积分（Gauss–Hermite类方法）计算边际概率，使其对应于随机抽取一名新孕妇的平均达标机会，与正文按孕妇分组的外层验证口径一致。</w:t>
      </w:r>
    </w:p>
    <w:p>
      <w:pPr>
        <w:pStyle w:val="BodyText"/>
      </w:pPr>
      <w:r>
        <w:t xml:space="preserve">第三步把概率转化为决策成本。仅知道达标概率并不足以给出时点建议，因为"早检未达标"与"晚检才出结果"的成本不对称。定义条件风险</w:t>
      </w:r>
    </w:p>
    <w:p>
      <w:pPr>
        <w:pStyle w:val="BodyText"/>
      </w:pPr>
      <m:oMathPara>
        <m:oMathParaPr>
          <m:jc m:val="center"/>
        </m:oMathParaPr>
        <m:oMath>
          <m:r>
            <m:t>R</m:t>
          </m:r>
          <m:r>
            <m:rPr>
              <m:sty m:val="p"/>
            </m:rPr>
            <m:t>(</m:t>
          </m:r>
          <m:r>
            <m:t>t</m:t>
          </m:r>
          <m:r>
            <m:rPr>
              <m:sty m:val="p"/>
            </m:rPr>
            <m:t>∣</m:t>
          </m:r>
          <m:r>
            <m:t>x</m:t>
          </m:r>
          <m:r>
            <m:rPr>
              <m:sty m:val="p"/>
            </m:rPr>
            <m:t>)</m:t>
          </m:r>
          <m:r>
            <m:rPr>
              <m:sty m:val="p"/>
            </m:rPr>
            <m:t>=</m:t>
          </m:r>
          <m:r>
            <m:t>1</m:t>
          </m:r>
          <m:r>
            <m:rPr>
              <m:sty m:val="p"/>
            </m:rPr>
            <m:t>−</m:t>
          </m:r>
          <m:r>
            <m:t>p</m:t>
          </m:r>
          <m:r>
            <m:rPr>
              <m:sty m:val="p"/>
            </m:rPr>
            <m:t>(</m:t>
          </m:r>
          <m:r>
            <m:t>t</m:t>
          </m:r>
          <m:r>
            <m:rPr>
              <m:sty m:val="p"/>
            </m:rPr>
            <m:t>∣</m:t>
          </m:r>
          <m:r>
            <m:t>x</m:t>
          </m:r>
          <m:r>
            <m:rPr>
              <m:sty m:val="p"/>
            </m:rPr>
            <m:t>)</m:t>
          </m:r>
          <m:r>
            <m:rPr>
              <m:sty m:val="p"/>
            </m:rPr>
            <m:t>+</m:t>
          </m:r>
          <m:r>
            <m:t>λ</m:t>
          </m:r>
          <m:r>
            <m:rPr>
              <m:sty m:val="p"/>
            </m:rPr>
            <m:t>(</m:t>
          </m:r>
          <m:r>
            <m:t>t</m:t>
          </m:r>
          <m:r>
            <m:rPr>
              <m:sty m:val="p"/>
            </m:rPr>
            <m:t>−</m:t>
          </m:r>
          <m:r>
            <m:t>11</m:t>
          </m:r>
          <m:r>
            <m:rPr>
              <m:sty m:val="p"/>
            </m:rPr>
            <m:t>)</m:t>
          </m:r>
          <m:r>
            <m:rPr>
              <m:sty m:val="p"/>
            </m:rPr>
            <m:t>+</m:t>
          </m:r>
          <m:r>
            <m:t>δ</m:t>
          </m:r>
          <m:r>
            <m:t>I</m:t>
          </m:r>
          <m:r>
            <m:rPr>
              <m:sty m:val="p"/>
            </m:rPr>
            <m:t>(</m:t>
          </m:r>
          <m:r>
            <m:t>t</m:t>
          </m:r>
          <m:r>
            <m:rPr>
              <m:sty m:val="p"/>
            </m:rPr>
            <m:t>≥</m:t>
          </m:r>
          <m:r>
            <m:t>13</m:t>
          </m:r>
          <m:r>
            <m:rPr>
              <m:sty m:val="p"/>
            </m:rPr>
            <m:t>)</m:t>
          </m:r>
          <m:r>
            <m:rPr>
              <m:sty m:val="p"/>
            </m:rPr>
            <m:t>.</m:t>
          </m:r>
        </m:oMath>
      </m:oMathPara>
    </w:p>
    <w:p>
      <w:pPr>
        <w:pStyle w:val="FirstParagraph"/>
      </w:pPr>
      <w:r>
        <w:t xml:space="preserve">其中第一项是本次检测未达标的失败风险，后两项刻画等待代价：每延迟一周增加</w:t>
      </w:r>
      <m:oMath>
        <m:r>
          <m:t>λ</m:t>
        </m:r>
      </m:oMath>
      <w:r>
        <w:t xml:space="preserve">的代价，孕周到达13周后再追加</w:t>
      </w:r>
      <m:oMath>
        <m:r>
          <m:t>δ</m:t>
        </m:r>
      </m:oMath>
      <w:r>
        <w:t xml:space="preserve">的阶跃惩罚，用于体现"若需产前诊断等后续程序，可执行时间被压缩"的延迟成本结构。式</w:t>
      </w:r>
      <w:hyperlink w:anchor="eq:risk">
        <w:r>
          <w:rPr>
            <w:rStyle w:val="Hyperlink"/>
          </w:rPr>
          <w:t xml:space="preserve">[eq:risk]</w:t>
        </w:r>
      </w:hyperlink>
      <w:r>
        <w:t xml:space="preserve">中的</w:t>
      </w:r>
      <m:oMath>
        <m:r>
          <m:t>λ</m:t>
        </m:r>
        <m:r>
          <m:rPr>
            <m:sty m:val="p"/>
          </m:rPr>
          <m:t>,</m:t>
        </m:r>
        <m:r>
          <m:t>δ</m:t>
        </m:r>
      </m:oMath>
      <w:r>
        <w:t xml:space="preserve">是外部指定的风险情景参数而非数据估计量，因此求解结果必然依赖其取值。低延迟L、中延迟M、高延迟H分别取</w:t>
      </w:r>
      <m:oMath>
        <m:r>
          <m:rPr>
            <m:sty m:val="p"/>
          </m:rPr>
          <m:t>(</m:t>
        </m:r>
        <m:r>
          <m:t>λ</m:t>
        </m:r>
        <m:r>
          <m:rPr>
            <m:sty m:val="p"/>
          </m:rPr>
          <m:t>,</m:t>
        </m:r>
        <m:r>
          <m:t>δ</m:t>
        </m:r>
        <m:r>
          <m:rPr>
            <m:sty m:val="p"/>
          </m:rPr>
          <m:t>)</m:t>
        </m:r>
        <m:r>
          <m:rPr>
            <m:sty m:val="p"/>
          </m:rPr>
          <m:t>=</m:t>
        </m:r>
        <m:r>
          <m:rPr>
            <m:sty m:val="p"/>
          </m:rPr>
          <m:t>(</m:t>
        </m:r>
        <m:r>
          <m:t>0.005</m:t>
        </m:r>
        <m:r>
          <m:rPr>
            <m:sty m:val="p"/>
          </m:rPr>
          <m:t>,</m:t>
        </m:r>
        <m:r>
          <m:t>0.10</m:t>
        </m:r>
        <m:r>
          <m:rPr>
            <m:sty m:val="p"/>
          </m:rPr>
          <m:t>)</m:t>
        </m:r>
      </m:oMath>
      <w:r>
        <w:t xml:space="preserve">、</w:t>
      </w:r>
      <m:oMath>
        <m:r>
          <m:rPr>
            <m:sty m:val="p"/>
          </m:rPr>
          <m:t>(</m:t>
        </m:r>
        <m:r>
          <m:t>0.020</m:t>
        </m:r>
        <m:r>
          <m:rPr>
            <m:sty m:val="p"/>
          </m:rPr>
          <m:t>,</m:t>
        </m:r>
        <m:r>
          <m:t>0.10</m:t>
        </m:r>
        <m:r>
          <m:rPr>
            <m:sty m:val="p"/>
          </m:rPr>
          <m:t>)</m:t>
        </m:r>
      </m:oMath>
      <w:r>
        <w:t xml:space="preserve">、</w:t>
      </w:r>
      <m:oMath>
        <m:r>
          <m:rPr>
            <m:sty m:val="p"/>
          </m:rPr>
          <m:t>(</m:t>
        </m:r>
        <m:r>
          <m:t>0.050</m:t>
        </m:r>
        <m:r>
          <m:rPr>
            <m:sty m:val="p"/>
          </m:rPr>
          <m:t>,</m:t>
        </m:r>
        <m:r>
          <m:t>0.10</m:t>
        </m:r>
        <m:r>
          <m:rPr>
            <m:sty m:val="p"/>
          </m:rPr>
          <m:t>)</m:t>
        </m:r>
      </m:oMath>
      <w:r>
        <w:t xml:space="preserve">。本文选择M作为主答案：它同时保留失败和等待代价，避免L情景频繁出现25周边界解，也避免H情景将方案推向11周边界。</w:t>
      </w:r>
    </w:p>
    <w:p>
      <w:pPr>
        <w:pStyle w:val="BodyText"/>
      </w:pPr>
      <w:r>
        <w:t xml:space="preserve">在逐孕周风险的基础上，还需要回答"给谁建议什么时点"。直接对每名孕妇单独给最优周会得到大量互不相同的时点，不利于服务组织，因此题目要求按BMI分组给出统一建议。把267名男胎孕妇按BMI排序后，问题化为把排序序列切成若干连续段、并为每段选择一个公共检测时点，使组内加权风险最小；同时施加可操作约束：每段至少包含最小组样本量，相同BMI取值不跨段拆分，且所选时点附近必须有足够观测支持（避免在无数据区域外推）。动态规划的递推式及其求解细节见后文"概率验证、可行性与动态规划"小节。表</w:t>
      </w:r>
      <w:hyperlink w:anchor="tab:q2policy">
        <w:r>
          <w:rPr>
            <w:rStyle w:val="Hyperlink"/>
          </w:rPr>
          <w:t xml:space="preserve">5</w:t>
        </w:r>
      </w:hyperlink>
      <w:r>
        <w:t xml:space="preserve">给出4%阈值、M情景的有效三组解；边界显示到一位小数，优化使用未舍入值。</w:t>
      </w:r>
    </w:p>
    <w:bookmarkStart w:id="40" w:name="tab:q2policy"/>
    <w:p>
      <w:pPr>
        <w:pStyle w:val="TableCaption"/>
      </w:pPr>
      <w:r>
        <w:t xml:space="preserve">问题二：4%阈值、中延迟M情景下的条件方案</w:t>
      </w:r>
    </w:p>
    <w:tbl>
      <w:tblPr>
        <w:tblStyle w:val="Table"/>
        <w:tblW w:type="pct" w:w="0.0"/>
        <w:tblLook w:firstRow="1" w:lastRow="0" w:firstColumn="0" w:lastColumn="0" w:noHBand="0" w:noVBand="0" w:val="0020"/>
        <w:tblCaption w:val="问题二：4%阈值、中延迟M情景下的条件方案"/>
      </w:tblPr>
      <w:tblGrid/>
      <w:tr>
        <w:tc>
          <w:p>
            <w:pPr>
              <w:pStyle w:val="Compact"/>
              <w:jc w:val="center"/>
            </w:pPr>
            <w:r>
              <w:t xml:space="preserve">BMI区间（kg/m</w:t>
            </w:r>
            <m:oMath>
              <m:sSup>
                <m:e>
                  <m:r>
                    <m:t>​</m:t>
                  </m:r>
                </m:e>
                <m:sup>
                  <m:r>
                    <m:t>2</m:t>
                  </m:r>
                </m:sup>
              </m:sSup>
            </m:oMath>
            <w:r>
              <w:t xml:space="preserve">）</w:t>
            </w:r>
          </w:p>
        </w:tc>
        <w:tc>
          <w:p>
            <w:pPr>
              <w:pStyle w:val="Compact"/>
              <w:jc w:val="center"/>
            </w:pPr>
            <w:r>
              <w:t xml:space="preserve">人数</w:t>
            </w:r>
          </w:p>
        </w:tc>
        <w:tc>
          <w:p>
            <w:pPr>
              <w:pStyle w:val="Compact"/>
              <w:jc w:val="center"/>
            </w:pPr>
            <w:r>
              <w:t xml:space="preserve">推荐检测时点</w:t>
            </w:r>
          </w:p>
        </w:tc>
        <w:tc>
          <w:p>
            <w:pPr>
              <w:pStyle w:val="Compact"/>
              <w:jc w:val="center"/>
            </w:pPr>
            <w:r>
              <w:t xml:space="preserve">说明</w:t>
            </w:r>
          </w:p>
        </w:tc>
      </w:tr>
      <w:tr>
        <w:tc>
          <w:p>
            <w:pPr>
              <w:pStyle w:val="Compact"/>
              <w:jc w:val="center"/>
            </w:pPr>
            <m:oMath>
              <m:r>
                <m:rPr>
                  <m:sty m:val="p"/>
                </m:rPr>
                <m:t>[</m:t>
              </m:r>
              <m:r>
                <m:t>20.7</m:t>
              </m:r>
              <m:r>
                <m:rPr>
                  <m:sty m:val="p"/>
                </m:rPr>
                <m:t>,</m:t>
              </m:r>
              <m:r>
                <m:t>33.4</m:t>
              </m:r>
              <m:r>
                <m:rPr>
                  <m:sty m:val="p"/>
                </m:rPr>
                <m:t>)</m:t>
              </m:r>
            </m:oMath>
          </w:p>
        </w:tc>
        <w:tc>
          <w:p>
            <w:pPr>
              <w:pStyle w:val="Compact"/>
              <w:jc w:val="center"/>
            </w:pPr>
            <w:r>
              <w:t xml:space="preserve">200</w:t>
            </w:r>
          </w:p>
        </w:tc>
        <w:tc>
          <w:p>
            <w:pPr>
              <w:pStyle w:val="Compact"/>
              <w:jc w:val="center"/>
            </w:pPr>
            <w:r>
              <w:t xml:space="preserve">11周</w:t>
            </w:r>
          </w:p>
        </w:tc>
        <w:tc>
          <w:p>
            <w:pPr>
              <w:pStyle w:val="Compact"/>
              <w:jc w:val="center"/>
            </w:pPr>
            <w:r>
              <w:t xml:space="preserve">搜索域下界</w:t>
            </w:r>
          </w:p>
        </w:tc>
      </w:tr>
      <w:tr>
        <w:tc>
          <w:p>
            <w:pPr>
              <w:pStyle w:val="Compact"/>
              <w:jc w:val="center"/>
            </w:pPr>
            <m:oMath>
              <m:r>
                <m:rPr>
                  <m:sty m:val="p"/>
                </m:rPr>
                <m:t>[</m:t>
              </m:r>
              <m:r>
                <m:t>33.4</m:t>
              </m:r>
              <m:r>
                <m:rPr>
                  <m:sty m:val="p"/>
                </m:rPr>
                <m:t>,</m:t>
              </m:r>
              <m:r>
                <m:t>34.4</m:t>
              </m:r>
              <m:r>
                <m:rPr>
                  <m:sty m:val="p"/>
                </m:rPr>
                <m:t>)</m:t>
              </m:r>
            </m:oMath>
          </w:p>
        </w:tc>
        <w:tc>
          <w:p>
            <w:pPr>
              <w:pStyle w:val="Compact"/>
              <w:jc w:val="center"/>
            </w:pPr>
            <w:r>
              <w:t xml:space="preserve">25</w:t>
            </w:r>
          </w:p>
        </w:tc>
        <w:tc>
          <w:p>
            <w:pPr>
              <w:pStyle w:val="Compact"/>
              <w:jc w:val="center"/>
            </w:pPr>
            <w:r>
              <w:t xml:space="preserve">11周6天</w:t>
            </w:r>
          </w:p>
        </w:tc>
        <w:tc>
          <w:p>
            <w:pPr>
              <w:pStyle w:val="Compact"/>
              <w:jc w:val="center"/>
            </w:pPr>
            <w:r>
              <w:t xml:space="preserve">满足最小组样本量</w:t>
            </w:r>
          </w:p>
        </w:tc>
      </w:tr>
      <w:tr>
        <w:tc>
          <w:p>
            <w:pPr>
              <w:pStyle w:val="Compact"/>
              <w:jc w:val="center"/>
            </w:pPr>
            <m:oMath>
              <m:r>
                <m:rPr>
                  <m:sty m:val="p"/>
                </m:rPr>
                <m:t>[</m:t>
              </m:r>
              <m:r>
                <m:t>34.4</m:t>
              </m:r>
              <m:r>
                <m:rPr>
                  <m:sty m:val="p"/>
                </m:rPr>
                <m:t>,</m:t>
              </m:r>
              <m:r>
                <m:t>46.9</m:t>
              </m:r>
              <m:r>
                <m:rPr>
                  <m:sty m:val="p"/>
                </m:rPr>
                <m:t>]</m:t>
              </m:r>
            </m:oMath>
          </w:p>
        </w:tc>
        <w:tc>
          <w:p>
            <w:pPr>
              <w:pStyle w:val="Compact"/>
              <w:jc w:val="center"/>
            </w:pPr>
            <w:r>
              <w:t xml:space="preserve">42</w:t>
            </w:r>
          </w:p>
        </w:tc>
        <w:tc>
          <w:p>
            <w:pPr>
              <w:pStyle w:val="Compact"/>
              <w:jc w:val="center"/>
            </w:pPr>
            <w:r>
              <w:t xml:space="preserve">12周6天</w:t>
            </w:r>
          </w:p>
        </w:tc>
        <w:tc>
          <w:p>
            <w:pPr>
              <w:pStyle w:val="Compact"/>
              <w:jc w:val="center"/>
            </w:pPr>
            <w:r>
              <w:t xml:space="preserve">13周阶跃之前</w:t>
            </w:r>
          </w:p>
        </w:tc>
      </w:tr>
    </w:tbl>
    <w:bookmarkEnd w:id="40"/>
    <w:p>
      <w:pPr>
        <w:pStyle w:val="CaptionedFigure"/>
      </w:pPr>
      <w:bookmarkStart w:id="42" w:name="fig:q2surface"/>
      <w:r>
        <w:drawing>
          <wp:inline>
            <wp:extent cx="5334000" cy="2592916"/>
            <wp:effectExtent b="0" l="0" r="0" t="0"/>
            <wp:docPr descr="不同孕周与BMI下的边际达标概率" title="" id="1" name="Picture"/>
            <a:graphic>
              <a:graphicData uri="http://schemas.openxmlformats.org/drawingml/2006/picture">
                <pic:pic>
                  <pic:nvPicPr>
                    <pic:cNvPr descr="figures/result_q2_probability_surface.png" id="0" name="Picture"/>
                    <pic:cNvPicPr>
                      <a:picLocks noChangeArrowheads="1" noChangeAspect="1"/>
                    </pic:cNvPicPr>
                  </pic:nvPicPr>
                  <pic:blipFill>
                    <a:blip r:embed="rId41"/>
                    <a:stretch>
                      <a:fillRect/>
                    </a:stretch>
                  </pic:blipFill>
                  <pic:spPr bwMode="auto">
                    <a:xfrm>
                      <a:off x="0" y="0"/>
                      <a:ext cx="5334000" cy="2592916"/>
                    </a:xfrm>
                    <a:prstGeom prst="rect">
                      <a:avLst/>
                    </a:prstGeom>
                    <a:noFill/>
                    <a:ln w="9525">
                      <a:noFill/>
                      <a:headEnd/>
                      <a:tailEnd/>
                    </a:ln>
                  </pic:spPr>
                </pic:pic>
              </a:graphicData>
            </a:graphic>
          </wp:inline>
        </w:drawing>
      </w:r>
      <w:bookmarkEnd w:id="42"/>
    </w:p>
    <w:p>
      <w:pPr>
        <w:pStyle w:val="ImageCaption"/>
      </w:pPr>
      <w:r>
        <w:t xml:space="preserve">不同孕周与BMI下的边际达标概率</w:t>
      </w:r>
    </w:p>
    <w:bookmarkStart w:id="47" w:name="概率验证可行性与动态规划"/>
    <w:p>
      <w:pPr>
        <w:pStyle w:val="Heading3"/>
      </w:pPr>
      <w:r>
        <w:t xml:space="preserve">概率验证、可行性与动态规划</w:t>
      </w:r>
    </w:p>
    <w:p>
      <w:pPr>
        <w:pStyle w:val="FirstParagraph"/>
      </w:pPr>
      <w:r>
        <w:t xml:space="preserve">真实首次达标周在附件中不能直接识别：217名孕妇首次观测时已达标，43名在随访中才观察到由未达标转达标，另有34名出现阈值反转。因此本问回答可观测问题</w:t>
      </w:r>
      <w:r>
        <w:t xml:space="preserve">“</w:t>
      </w:r>
      <w:r>
        <w:t xml:space="preserve">在某孕周的一次检测是否达标</w:t>
      </w:r>
      <w:r>
        <w:t xml:space="preserve">”</w:t>
      </w:r>
      <w:r>
        <w:t xml:space="preserve">，而不将首次观测时点误称为生理首次达标时点。</w:t>
      </w:r>
    </w:p>
    <w:p>
      <w:pPr>
        <w:pStyle w:val="BodyText"/>
      </w:pPr>
      <w:r>
        <w:t xml:space="preserve">外层五折以孕妇分组；每名孕妇先平均其记录Brier损失，再跨孕妇平均，避免多次检测者权重过大。二项模型主体Brier为0.11160，训练主体常数率基线为0.11315，提升较小；校准图的高概率区域也存在一定乐观偏差。图</w:t>
      </w:r>
      <w:hyperlink w:anchor="fig:q2slice">
        <w:r>
          <w:rPr>
            <w:rStyle w:val="Hyperlink"/>
          </w:rPr>
          <w:t xml:space="preserve">5</w:t>
        </w:r>
      </w:hyperlink>
      <w:r>
        <w:t xml:space="preserve">和图</w:t>
      </w:r>
      <w:hyperlink w:anchor="fig:q2support">
        <w:r>
          <w:rPr>
            <w:rStyle w:val="Hyperlink"/>
          </w:rPr>
          <w:t xml:space="preserve">6</w:t>
        </w:r>
      </w:hyperlink>
      <w:r>
        <w:t xml:space="preserve">分别展示BMI条件的概率曲线与早孕支持范围；不晚于12周的首次观测仅69名，故早期策略不能被解读为无条件外推。</w:t>
      </w:r>
    </w:p>
    <w:p>
      <w:pPr>
        <w:pStyle w:val="CaptionedFigure"/>
      </w:pPr>
      <w:bookmarkStart w:id="44" w:name="fig:q2slice"/>
      <w:r>
        <w:drawing>
          <wp:inline>
            <wp:extent cx="5334000" cy="3217333"/>
            <wp:effectExtent b="0" l="0" r="0" t="0"/>
            <wp:docPr descr="不同BMI条件下的男胎达标概率曲线" title="" id="1" name="Picture"/>
            <a:graphic>
              <a:graphicData uri="http://schemas.openxmlformats.org/drawingml/2006/picture">
                <pic:pic>
                  <pic:nvPicPr>
                    <pic:cNvPr descr="figures/result_q2_probability_slices.png" id="0" name="Picture"/>
                    <pic:cNvPicPr>
                      <a:picLocks noChangeArrowheads="1" noChangeAspect="1"/>
                    </pic:cNvPicPr>
                  </pic:nvPicPr>
                  <pic:blipFill>
                    <a:blip r:embed="rId43"/>
                    <a:stretch>
                      <a:fillRect/>
                    </a:stretch>
                  </pic:blipFill>
                  <pic:spPr bwMode="auto">
                    <a:xfrm>
                      <a:off x="0" y="0"/>
                      <a:ext cx="5334000" cy="3217333"/>
                    </a:xfrm>
                    <a:prstGeom prst="rect">
                      <a:avLst/>
                    </a:prstGeom>
                    <a:noFill/>
                    <a:ln w="9525">
                      <a:noFill/>
                      <a:headEnd/>
                      <a:tailEnd/>
                    </a:ln>
                  </pic:spPr>
                </pic:pic>
              </a:graphicData>
            </a:graphic>
          </wp:inline>
        </w:drawing>
      </w:r>
      <w:bookmarkEnd w:id="44"/>
    </w:p>
    <w:p>
      <w:pPr>
        <w:pStyle w:val="ImageCaption"/>
      </w:pPr>
      <w:r>
        <w:t xml:space="preserve">不同BMI条件下的男胎达标概率曲线</w:t>
      </w:r>
    </w:p>
    <w:p>
      <w:pPr>
        <w:pStyle w:val="CaptionedFigure"/>
      </w:pPr>
      <w:bookmarkStart w:id="46" w:name="fig:q2support"/>
      <w:r>
        <w:drawing>
          <wp:inline>
            <wp:extent cx="5334000" cy="3022600"/>
            <wp:effectExtent b="0" l="0" r="0" t="0"/>
            <wp:docPr descr="男胎检测孕周与首次观测时点的支持范围" title="" id="1" name="Picture"/>
            <a:graphic>
              <a:graphicData uri="http://schemas.openxmlformats.org/drawingml/2006/picture">
                <pic:pic>
                  <pic:nvPicPr>
                    <pic:cNvPr descr="figures/raw_q2_observation_support.png" id="0" name="Picture"/>
                    <pic:cNvPicPr>
                      <a:picLocks noChangeArrowheads="1" noChangeAspect="1"/>
                    </pic:cNvPicPr>
                  </pic:nvPicPr>
                  <pic:blipFill>
                    <a:blip r:embed="rId45"/>
                    <a:stretch>
                      <a:fillRect/>
                    </a:stretch>
                  </pic:blipFill>
                  <pic:spPr bwMode="auto">
                    <a:xfrm>
                      <a:off x="0" y="0"/>
                      <a:ext cx="5334000" cy="3022600"/>
                    </a:xfrm>
                    <a:prstGeom prst="rect">
                      <a:avLst/>
                    </a:prstGeom>
                    <a:noFill/>
                    <a:ln w="9525">
                      <a:noFill/>
                      <a:headEnd/>
                      <a:tailEnd/>
                    </a:ln>
                  </pic:spPr>
                </pic:pic>
              </a:graphicData>
            </a:graphic>
          </wp:inline>
        </w:drawing>
      </w:r>
      <w:bookmarkEnd w:id="46"/>
    </w:p>
    <w:p>
      <w:pPr>
        <w:pStyle w:val="ImageCaption"/>
      </w:pPr>
      <w:r>
        <w:t xml:space="preserve">男胎检测孕周与首次观测时点的支持范围</w:t>
      </w:r>
    </w:p>
    <w:p>
      <w:pPr>
        <w:pStyle w:val="BodyText"/>
      </w:pPr>
      <w:r>
        <w:t xml:space="preserve">对排序后的主体，令</w:t>
      </w:r>
      <m:oMath>
        <m:r>
          <m:t>C</m:t>
        </m:r>
        <m:r>
          <m:rPr>
            <m:sty m:val="p"/>
          </m:rPr>
          <m:t>(</m:t>
        </m:r>
        <m:r>
          <m:t>a</m:t>
        </m:r>
        <m:r>
          <m:rPr>
            <m:sty m:val="p"/>
          </m:rPr>
          <m:t>,</m:t>
        </m:r>
        <m:r>
          <m:t>b</m:t>
        </m:r>
        <m:r>
          <m:rPr>
            <m:sty m:val="p"/>
          </m:rPr>
          <m:t>)</m:t>
        </m:r>
      </m:oMath>
      <w:r>
        <w:t xml:space="preserve">为第</w:t>
      </w:r>
      <m:oMath>
        <m:r>
          <m:t>a</m:t>
        </m:r>
      </m:oMath>
      <w:r>
        <w:t xml:space="preserve">至</w:t>
      </w:r>
      <m:oMath>
        <m:r>
          <m:t>b</m:t>
        </m:r>
      </m:oMath>
      <w:r>
        <w:t xml:space="preserve">名主体在共同检测时点下的最小加权风险。动态规划递推为</w:t>
      </w:r>
    </w:p>
    <w:p>
      <w:pPr>
        <w:pStyle w:val="BodyText"/>
      </w:pPr>
      <m:oMathPara>
        <m:oMathParaPr>
          <m:jc m:val="center"/>
        </m:oMathParaPr>
        <m:oMath>
          <m:r>
            <m:t>D</m:t>
          </m:r>
          <m:r>
            <m:rPr>
              <m:sty m:val="p"/>
            </m:rPr>
            <m:t>(</m:t>
          </m:r>
          <m:r>
            <m:t>k</m:t>
          </m:r>
          <m:r>
            <m:rPr>
              <m:sty m:val="p"/>
            </m:rPr>
            <m:t>,</m:t>
          </m:r>
          <m:r>
            <m:t>b</m:t>
          </m:r>
          <m:r>
            <m:rPr>
              <m:sty m:val="p"/>
            </m:rPr>
            <m:t>)</m:t>
          </m:r>
          <m:r>
            <m:rPr>
              <m:sty m:val="p"/>
            </m:rPr>
            <m:t>=</m:t>
          </m:r>
          <m:sSub>
            <m:e>
              <m:r>
                <m:rPr>
                  <m:sty m:val="p"/>
                </m:rPr>
                <m:t>m</m:t>
              </m:r>
              <m:r>
                <m:rPr>
                  <m:sty m:val="p"/>
                </m:rPr>
                <m:t>i</m:t>
              </m:r>
              <m:r>
                <m:rPr>
                  <m:sty m:val="p"/>
                </m:rPr>
                <m:t>n</m:t>
              </m:r>
            </m:e>
            <m:sub>
              <m:r>
                <m:t>a</m:t>
              </m:r>
              <m:r>
                <m:rPr>
                  <m:sty m:val="p"/>
                </m:rPr>
                <m:t>≤</m:t>
              </m:r>
              <m:r>
                <m:t>b</m:t>
              </m:r>
            </m:sub>
          </m:sSub>
          <m:r>
            <m:rPr>
              <m:sty m:val="p"/>
            </m:rPr>
            <m:t>{</m:t>
          </m:r>
          <m:r>
            <m:t>D</m:t>
          </m:r>
          <m:r>
            <m:rPr>
              <m:sty m:val="p"/>
            </m:rPr>
            <m:t>(</m:t>
          </m:r>
          <m:r>
            <m:t>k</m:t>
          </m:r>
          <m:r>
            <m:rPr>
              <m:sty m:val="p"/>
            </m:rPr>
            <m:t>−</m:t>
          </m:r>
          <m:r>
            <m:t>1</m:t>
          </m:r>
          <m:r>
            <m:rPr>
              <m:sty m:val="p"/>
            </m:rPr>
            <m:t>,</m:t>
          </m:r>
          <m:r>
            <m:t>a</m:t>
          </m:r>
          <m:r>
            <m:rPr>
              <m:sty m:val="p"/>
            </m:rPr>
            <m:t>−</m:t>
          </m:r>
          <m:r>
            <m:t>1</m:t>
          </m:r>
          <m:r>
            <m:rPr>
              <m:sty m:val="p"/>
            </m:rPr>
            <m:t>)</m:t>
          </m:r>
          <m:r>
            <m:rPr>
              <m:sty m:val="p"/>
            </m:rPr>
            <m:t>+</m:t>
          </m:r>
          <m:r>
            <m:t>C</m:t>
          </m:r>
          <m:r>
            <m:rPr>
              <m:sty m:val="p"/>
            </m:rPr>
            <m:t>(</m:t>
          </m:r>
          <m:r>
            <m:t>a</m:t>
          </m:r>
          <m:r>
            <m:rPr>
              <m:sty m:val="p"/>
            </m:rPr>
            <m:t>,</m:t>
          </m:r>
          <m:r>
            <m:t>b</m:t>
          </m:r>
          <m:r>
            <m:rPr>
              <m:sty m:val="p"/>
            </m:rPr>
            <m:t>)</m:t>
          </m:r>
          <m:r>
            <m:rPr>
              <m:sty m:val="p"/>
            </m:rPr>
            <m:t>}</m:t>
          </m:r>
          <m:r>
            <m:rPr>
              <m:sty m:val="p"/>
            </m:rPr>
            <m:t>,</m:t>
          </m:r>
        </m:oMath>
      </m:oMathPara>
    </w:p>
    <w:p>
      <w:pPr>
        <w:pStyle w:val="FirstParagraph"/>
      </w:pPr>
      <w:r>
        <w:t xml:space="preserve">其中候选段必须满足最小主体数、相同BMI不拆分和局部观测支持约束。求解后将相邻且时点相同的段合并；保留无决策差异的切点只会制造</w:t>
      </w:r>
      <w:r>
        <w:t xml:space="preserve">“</w:t>
      </w:r>
      <w:r>
        <w:t xml:space="preserve">越分越细</w:t>
      </w:r>
      <w:r>
        <w:t xml:space="preserve">”</w:t>
      </w:r>
      <w:r>
        <w:t xml:space="preserve">的假象。全样本条件解与外层概率验证分别报告：前者给出题目要求的可执行方案，后者检验其概率基础的可推广程度。</w:t>
      </w:r>
    </w:p>
    <w:bookmarkEnd w:id="47"/>
    <w:bookmarkEnd w:id="48"/>
    <w:bookmarkStart w:id="54" w:name="问题三多因素扩展与条件方案"/>
    <w:p>
      <w:pPr>
        <w:pStyle w:val="Heading2"/>
      </w:pPr>
      <w:r>
        <w:t xml:space="preserve">问题三：多因素扩展与条件方案</w:t>
      </w:r>
    </w:p>
    <w:p>
      <w:pPr>
        <w:pStyle w:val="FirstParagraph"/>
      </w:pPr>
      <w:r>
        <w:t xml:space="preserve">基础扩展规格加入首条记录年龄、身高；完整规格再加入辅助受孕、孕次与产次代理。原体重、身高和BMI不同时输入基础规格，检测后质量变量不进入预约模型。三种规格采用相同主体五折划分，以每名孕妇的外层Brier损失作配对比较，见表</w:t>
      </w:r>
      <w:hyperlink w:anchor="tab:q3compare">
        <w:r>
          <w:rPr>
            <w:rStyle w:val="Hyperlink"/>
          </w:rPr>
          <w:t xml:space="preserve">6</w:t>
        </w:r>
      </w:hyperlink>
      <w:r>
        <w:t xml:space="preserve">。</w:t>
      </w:r>
    </w:p>
    <w:bookmarkStart w:id="49" w:name="tab:q3compare"/>
    <w:p>
      <w:pPr>
        <w:pStyle w:val="TableCaption"/>
      </w:pPr>
      <w:r>
        <w:t xml:space="preserve">多因素固定规格相对Q2的主体留出表现</w:t>
      </w:r>
    </w:p>
    <w:tbl>
      <w:tblPr>
        <w:tblStyle w:val="Table"/>
        <w:tblW w:type="pct" w:w="0.0"/>
        <w:tblLook w:firstRow="1" w:lastRow="0" w:firstColumn="0" w:lastColumn="0" w:noHBand="0" w:noVBand="0" w:val="0020"/>
        <w:tblCaption w:val="多因素固定规格相对Q2的主体留出表现"/>
      </w:tblPr>
      <w:tblGrid/>
      <w:tr>
        <w:tc>
          <w:p>
            <w:pPr>
              <w:pStyle w:val="Compact"/>
              <w:jc w:val="left"/>
            </w:pPr>
            <w:r>
              <w:t xml:space="preserve">规格</w:t>
            </w:r>
          </w:p>
        </w:tc>
        <w:tc>
          <w:p>
            <w:pPr>
              <w:pStyle w:val="Compact"/>
              <w:jc w:val="center"/>
            </w:pPr>
            <w:r>
              <w:t xml:space="preserve">主体Brier</w:t>
            </w:r>
          </w:p>
        </w:tc>
        <w:tc>
          <w:p>
            <w:pPr>
              <w:pStyle w:val="Compact"/>
              <w:jc w:val="center"/>
            </w:pPr>
            <w:r>
              <w:t xml:space="preserve">相对Q2差值</w:t>
            </w:r>
          </w:p>
        </w:tc>
        <w:tc>
          <w:p>
            <w:pPr>
              <w:pStyle w:val="Compact"/>
              <w:jc w:val="center"/>
            </w:pPr>
            <w:r>
              <w:t xml:space="preserve">差值95%区间</w:t>
            </w:r>
          </w:p>
        </w:tc>
      </w:tr>
      <w:tr>
        <w:tc>
          <w:p>
            <w:pPr>
              <w:pStyle w:val="Compact"/>
              <w:jc w:val="left"/>
            </w:pPr>
            <w:r>
              <w:t xml:space="preserve">Q2：孕周与BMI</w:t>
            </w:r>
          </w:p>
        </w:tc>
        <w:tc>
          <w:p>
            <w:pPr>
              <w:pStyle w:val="Compact"/>
              <w:jc w:val="center"/>
            </w:pPr>
            <w:r>
              <w:t xml:space="preserve">0.11160</w:t>
            </w:r>
          </w:p>
        </w:tc>
        <w:tc>
          <w:p>
            <w:pPr>
              <w:pStyle w:val="Compact"/>
              <w:jc w:val="center"/>
            </w:pPr>
            <w:r>
              <w:t xml:space="preserve">0</w:t>
            </w:r>
          </w:p>
        </w:tc>
        <w:tc>
          <w:p>
            <w:pPr>
              <w:pStyle w:val="Compact"/>
              <w:jc w:val="center"/>
            </w:pPr>
            <w:r>
              <w:t xml:space="preserve">–</w:t>
            </w:r>
          </w:p>
        </w:tc>
      </w:tr>
      <w:tr>
        <w:tc>
          <w:p>
            <w:pPr>
              <w:pStyle w:val="Compact"/>
              <w:jc w:val="left"/>
            </w:pPr>
            <w:r>
              <w:t xml:space="preserve">基础扩展：加入年龄、身高</w:t>
            </w:r>
          </w:p>
        </w:tc>
        <w:tc>
          <w:p>
            <w:pPr>
              <w:pStyle w:val="Compact"/>
              <w:jc w:val="center"/>
            </w:pPr>
            <w:r>
              <w:t xml:space="preserve">0.11192</w:t>
            </w:r>
          </w:p>
        </w:tc>
        <w:tc>
          <w:p>
            <w:pPr>
              <w:pStyle w:val="Compact"/>
              <w:jc w:val="center"/>
            </w:pPr>
            <w:r>
              <w:t xml:space="preserve">0.00032</w:t>
            </w:r>
          </w:p>
        </w:tc>
        <w:tc>
          <w:p>
            <w:pPr>
              <w:pStyle w:val="Compact"/>
              <w:jc w:val="center"/>
            </w:pPr>
            <m:oMath>
              <m:r>
                <m:rPr>
                  <m:sty m:val="p"/>
                </m:rPr>
                <m:t>[</m:t>
              </m:r>
              <m:r>
                <m:rPr>
                  <m:sty m:val="p"/>
                </m:rPr>
                <m:t>−</m:t>
              </m:r>
              <m:r>
                <m:t>0.00247</m:t>
              </m:r>
              <m:r>
                <m:rPr>
                  <m:sty m:val="p"/>
                </m:rPr>
                <m:t>,</m:t>
              </m:r>
              <m:r>
                <m:t>0.00312</m:t>
              </m:r>
              <m:r>
                <m:rPr>
                  <m:sty m:val="p"/>
                </m:rPr>
                <m:t>]</m:t>
              </m:r>
            </m:oMath>
          </w:p>
        </w:tc>
      </w:tr>
      <w:tr>
        <w:tc>
          <w:p>
            <w:pPr>
              <w:pStyle w:val="Compact"/>
              <w:jc w:val="left"/>
            </w:pPr>
            <w:r>
              <w:t xml:space="preserve">完整扩展：再加孕产代理</w:t>
            </w:r>
          </w:p>
        </w:tc>
        <w:tc>
          <w:p>
            <w:pPr>
              <w:pStyle w:val="Compact"/>
              <w:jc w:val="center"/>
            </w:pPr>
            <w:r>
              <w:t xml:space="preserve">0.11384</w:t>
            </w:r>
          </w:p>
        </w:tc>
        <w:tc>
          <w:p>
            <w:pPr>
              <w:pStyle w:val="Compact"/>
              <w:jc w:val="center"/>
            </w:pPr>
            <w:r>
              <w:t xml:space="preserve">0.00224</w:t>
            </w:r>
          </w:p>
        </w:tc>
        <w:tc>
          <w:p>
            <w:pPr>
              <w:pStyle w:val="Compact"/>
              <w:jc w:val="center"/>
            </w:pPr>
            <m:oMath>
              <m:r>
                <m:rPr>
                  <m:sty m:val="p"/>
                </m:rPr>
                <m:t>[</m:t>
              </m:r>
              <m:r>
                <m:rPr>
                  <m:sty m:val="p"/>
                </m:rPr>
                <m:t>−</m:t>
              </m:r>
              <m:r>
                <m:t>0.00132</m:t>
              </m:r>
              <m:r>
                <m:rPr>
                  <m:sty m:val="p"/>
                </m:rPr>
                <m:t>,</m:t>
              </m:r>
              <m:r>
                <m:t>0.00596</m:t>
              </m:r>
              <m:r>
                <m:rPr>
                  <m:sty m:val="p"/>
                </m:rPr>
                <m:t>]</m:t>
              </m:r>
            </m:oMath>
          </w:p>
        </w:tc>
      </w:tr>
    </w:tbl>
    <w:bookmarkEnd w:id="49"/>
    <w:p>
      <w:pPr>
        <w:pStyle w:val="BodyText"/>
      </w:pPr>
      <w:r>
        <w:t xml:space="preserve">两种扩展均未显示稳定改善。基础扩展在M情景下仍按BMI分组，得到</w:t>
      </w:r>
      <m:oMath>
        <m:r>
          <m:rPr>
            <m:sty m:val="p"/>
          </m:rPr>
          <m:t>[</m:t>
        </m:r>
        <m:r>
          <m:t>20.7</m:t>
        </m:r>
        <m:r>
          <m:rPr>
            <m:sty m:val="p"/>
          </m:rPr>
          <m:t>,</m:t>
        </m:r>
        <m:r>
          <m:t>33.4</m:t>
        </m:r>
        <m:r>
          <m:rPr>
            <m:sty m:val="p"/>
          </m:rPr>
          <m:t>)</m:t>
        </m:r>
      </m:oMath>
      <w:r>
        <w:t xml:space="preserve">、</w:t>
      </w:r>
      <m:oMath>
        <m:r>
          <m:rPr>
            <m:sty m:val="p"/>
          </m:rPr>
          <m:t>[</m:t>
        </m:r>
        <m:r>
          <m:t>33.4</m:t>
        </m:r>
        <m:r>
          <m:rPr>
            <m:sty m:val="p"/>
          </m:rPr>
          <m:t>,</m:t>
        </m:r>
        <m:r>
          <m:t>35.0</m:t>
        </m:r>
        <m:r>
          <m:rPr>
            <m:sty m:val="p"/>
          </m:rPr>
          <m:t>)</m:t>
        </m:r>
      </m:oMath>
      <w:r>
        <w:t xml:space="preserve">、</w:t>
      </w:r>
      <m:oMath>
        <m:r>
          <m:rPr>
            <m:sty m:val="p"/>
          </m:rPr>
          <m:t>[</m:t>
        </m:r>
        <m:r>
          <m:t>35.0</m:t>
        </m:r>
        <m:r>
          <m:rPr>
            <m:sty m:val="p"/>
          </m:rPr>
          <m:t>,</m:t>
        </m:r>
        <m:r>
          <m:t>46.9</m:t>
        </m:r>
        <m:r>
          <m:rPr>
            <m:sty m:val="p"/>
          </m:rPr>
          <m:t>]</m:t>
        </m:r>
      </m:oMath>
      <w:r>
        <w:t xml:space="preserve">三组，推荐时点依次为11周、12周2天、12周6天；它是条件扩展结果，不替代问题二的主方案。</w:t>
      </w:r>
    </w:p>
    <w:bookmarkStart w:id="53" w:name="配对验证与测量误差敏感性"/>
    <w:p>
      <w:pPr>
        <w:pStyle w:val="Heading3"/>
      </w:pPr>
      <w:r>
        <w:t xml:space="preserve">配对验证与测量误差敏感性</w:t>
      </w:r>
    </w:p>
    <w:p>
      <w:pPr>
        <w:pStyle w:val="FirstParagraph"/>
      </w:pPr>
      <w:r>
        <w:t xml:space="preserve">Q2、基础扩展和完整扩展使用相同的主体五折划分，故可对每名孕妇的外层Brier损失作配对比较。图</w:t>
      </w:r>
      <w:hyperlink w:anchor="fig:q3paired">
        <w:r>
          <w:rPr>
            <w:rStyle w:val="Hyperlink"/>
          </w:rPr>
          <w:t xml:space="preserve">7</w:t>
        </w:r>
      </w:hyperlink>
      <w:r>
        <w:t xml:space="preserve">展示两种扩展相对Q2的误差差值；正值表示扩展模型更差。区间通过主体损失差值的重采样构造，描述已固定模型规格下的验证不确定性，而不包含反复搜索变量组合带来的全部不确定性。</w:t>
      </w:r>
    </w:p>
    <w:p>
      <w:pPr>
        <w:pStyle w:val="CaptionedFigure"/>
      </w:pPr>
      <w:bookmarkStart w:id="51" w:name="fig:q3paired"/>
      <w:r>
        <w:drawing>
          <wp:inline>
            <wp:extent cx="5334000" cy="2844800"/>
            <wp:effectExtent b="0" l="0" r="0" t="0"/>
            <wp:docPr descr="多因素扩展相对BMI模型的主体配对误差" title="" id="1" name="Picture"/>
            <a:graphic>
              <a:graphicData uri="http://schemas.openxmlformats.org/drawingml/2006/picture">
                <pic:pic>
                  <pic:nvPicPr>
                    <pic:cNvPr descr="figures/process_q3_paired_comparison.png" id="0" name="Picture"/>
                    <pic:cNvPicPr>
                      <a:picLocks noChangeArrowheads="1" noChangeAspect="1"/>
                    </pic:cNvPicPr>
                  </pic:nvPicPr>
                  <pic:blipFill>
                    <a:blip r:embed="rId50"/>
                    <a:stretch>
                      <a:fillRect/>
                    </a:stretch>
                  </pic:blipFill>
                  <pic:spPr bwMode="auto">
                    <a:xfrm>
                      <a:off x="0" y="0"/>
                      <a:ext cx="5334000" cy="2844800"/>
                    </a:xfrm>
                    <a:prstGeom prst="rect">
                      <a:avLst/>
                    </a:prstGeom>
                    <a:noFill/>
                    <a:ln w="9525">
                      <a:noFill/>
                      <a:headEnd/>
                      <a:tailEnd/>
                    </a:ln>
                  </pic:spPr>
                </pic:pic>
              </a:graphicData>
            </a:graphic>
          </wp:inline>
        </w:drawing>
      </w:r>
      <w:bookmarkEnd w:id="51"/>
    </w:p>
    <w:p>
      <w:pPr>
        <w:pStyle w:val="ImageCaption"/>
      </w:pPr>
      <w:r>
        <w:t xml:space="preserve">多因素扩展相对BMI模型的主体配对误差</w:t>
      </w:r>
    </w:p>
    <w:p>
      <w:pPr>
        <w:pStyle w:val="BodyText"/>
      </w:pPr>
      <w:r>
        <w:t xml:space="preserve">为评估测量不确定性，按孕妇、检测日期、抽血次数和孕周识别同次抽血重复测序组，共18组、14名孕妇、每组两条记录。在logit浓度尺度上，以组内平方和除以自由度估计波动方差：</w:t>
      </w:r>
    </w:p>
    <w:p>
      <w:pPr>
        <w:pStyle w:val="BodyText"/>
      </w:pPr>
      <m:oMathPara>
        <m:oMathParaPr>
          <m:jc m:val="center"/>
        </m:oMathParaPr>
        <m:oMath>
          <m:sSubSup>
            <m:e>
              <m:acc>
                <m:accPr>
                  <m:chr m:val="̂"/>
                </m:accPr>
                <m:e>
                  <m:r>
                    <m:t>σ</m:t>
                  </m:r>
                </m:e>
              </m:acc>
            </m:e>
            <m:sub>
              <m:r>
                <m:t>m</m:t>
              </m:r>
            </m:sub>
            <m:sup>
              <m:r>
                <m:t>2</m:t>
              </m:r>
            </m:sup>
          </m:sSubSup>
          <m:r>
            <m:rPr>
              <m:sty m:val="p"/>
            </m:rPr>
            <m:t>=</m:t>
          </m:r>
          <m:f>
            <m:fPr>
              <m:type m:val="bar"/>
            </m:fPr>
            <m:num>
              <m:nary>
                <m:naryPr>
                  <m:chr m:val="∑"/>
                  <m:limLoc m:val="undOvr"/>
                  <m:subHide m:val="0"/>
                  <m:supHide m:val="1"/>
                </m:naryPr>
                <m:sub>
                  <m:r>
                    <m:t>g</m:t>
                  </m:r>
                </m:sub>
                <m:sup>
                  <m:r>
                    <m:t>​</m:t>
                  </m:r>
                </m:sup>
                <m:e>
                  <m:nary>
                    <m:naryPr>
                      <m:chr m:val="∑"/>
                      <m:limLoc m:val="undOvr"/>
                      <m:subHide m:val="0"/>
                      <m:supHide m:val="0"/>
                    </m:naryPr>
                    <m:sub>
                      <m:r>
                        <m:t>j</m:t>
                      </m:r>
                      <m:r>
                        <m:rPr>
                          <m:sty m:val="p"/>
                        </m:rPr>
                        <m:t>=</m:t>
                      </m:r>
                      <m:r>
                        <m:t>1</m:t>
                      </m:r>
                    </m:sub>
                    <m:sup>
                      <m:sSub>
                        <m:e>
                          <m:r>
                            <m:t>n</m:t>
                          </m:r>
                        </m:e>
                        <m:sub>
                          <m:r>
                            <m:t>g</m:t>
                          </m:r>
                        </m:sub>
                      </m:sSub>
                    </m:sup>
                    <m:e>
                      <m:r>
                        <m:rPr>
                          <m:sty m:val="p"/>
                        </m:rPr>
                        <m:t>(</m:t>
                      </m:r>
                    </m:e>
                  </m:nary>
                </m:e>
              </m:nary>
              <m:sSub>
                <m:e>
                  <m:r>
                    <m:t>z</m:t>
                  </m:r>
                </m:e>
                <m:sub>
                  <m:r>
                    <m:t>g</m:t>
                  </m:r>
                  <m:r>
                    <m:t>j</m:t>
                  </m:r>
                </m:sub>
              </m:sSub>
              <m:r>
                <m:rPr>
                  <m:sty m:val="p"/>
                </m:rPr>
                <m:t>−</m:t>
              </m:r>
              <m:sSub>
                <m:e>
                  <m:acc>
                    <m:accPr>
                      <m:chr m:val="‾"/>
                    </m:accPr>
                    <m:e>
                      <m:r>
                        <m:t>z</m:t>
                      </m:r>
                    </m:e>
                  </m:acc>
                </m:e>
                <m:sub>
                  <m:r>
                    <m:t>g</m:t>
                  </m:r>
                </m:sub>
              </m:sSub>
              <m:sSup>
                <m:e>
                  <m:r>
                    <m:rPr>
                      <m:sty m:val="p"/>
                    </m:rPr>
                    <m:t>)</m:t>
                  </m:r>
                </m:e>
                <m:sup>
                  <m:r>
                    <m:t>2</m:t>
                  </m:r>
                </m:sup>
              </m:sSup>
            </m:num>
            <m:den>
              <m:nary>
                <m:naryPr>
                  <m:chr m:val="∑"/>
                  <m:limLoc m:val="undOvr"/>
                  <m:subHide m:val="0"/>
                  <m:supHide m:val="1"/>
                </m:naryPr>
                <m:sub>
                  <m:r>
                    <m:t>g</m:t>
                  </m:r>
                </m:sub>
                <m:sup>
                  <m:r>
                    <m:t>​</m:t>
                  </m:r>
                </m:sup>
                <m:e>
                  <m:r>
                    <m:rPr>
                      <m:sty m:val="p"/>
                    </m:rPr>
                    <m:t>(</m:t>
                  </m:r>
                </m:e>
              </m:nary>
              <m:sSub>
                <m:e>
                  <m:r>
                    <m:t>n</m:t>
                  </m:r>
                </m:e>
                <m:sub>
                  <m:r>
                    <m:t>g</m:t>
                  </m:r>
                </m:sub>
              </m:sSub>
              <m:r>
                <m:rPr>
                  <m:sty m:val="p"/>
                </m:rPr>
                <m:t>−</m:t>
              </m:r>
              <m:r>
                <m:t>1</m:t>
              </m:r>
              <m:r>
                <m:rPr>
                  <m:sty m:val="p"/>
                </m:rPr>
                <m:t>)</m:t>
              </m:r>
            </m:den>
          </m:f>
          <m:r>
            <m:rPr>
              <m:sty m:val="p"/>
            </m:rPr>
            <m:t>.</m:t>
          </m:r>
        </m:oMath>
      </m:oMathPara>
    </w:p>
    <w:p>
      <w:pPr>
        <w:pStyle w:val="FirstParagraph"/>
      </w:pPr>
      <w:r>
        <w:t xml:space="preserve">得到</w:t>
      </w:r>
      <m:oMath>
        <m:sSub>
          <m:e>
            <m:acc>
              <m:accPr>
                <m:chr m:val="̂"/>
              </m:accPr>
              <m:e>
                <m:r>
                  <m:t>σ</m:t>
                </m:r>
              </m:e>
            </m:acc>
          </m:e>
          <m:sub>
            <m:r>
              <m:t>m</m:t>
            </m:r>
          </m:sub>
        </m:sSub>
        <m:r>
          <m:rPr>
            <m:sty m:val="p"/>
          </m:rPr>
          <m:t>=</m:t>
        </m:r>
        <m:r>
          <m:t>0.123745</m:t>
        </m:r>
      </m:oMath>
      <w:r>
        <w:t xml:space="preserve">；按14名孕妇进行2000次重采样，尺度区间为</w:t>
      </w:r>
      <m:oMath>
        <m:r>
          <m:rPr>
            <m:sty m:val="p"/>
          </m:rPr>
          <m:t>[</m:t>
        </m:r>
        <m:r>
          <m:t>0.08175</m:t>
        </m:r>
        <m:r>
          <m:rPr>
            <m:sty m:val="p"/>
          </m:rPr>
          <m:t>,</m:t>
        </m:r>
        <m:r>
          <m:t>0.16770</m:t>
        </m:r>
        <m:r>
          <m:rPr>
            <m:sty m:val="p"/>
          </m:rPr>
          <m:t>]</m:t>
        </m:r>
      </m:oMath>
      <w:r>
        <w:t xml:space="preserve">。该值是同次抽血组内波动尺度，不是整个NIPT平台的仪器误差标准差。</w:t>
      </w:r>
    </w:p>
    <w:p>
      <w:pPr>
        <w:pStyle w:val="BodyText"/>
      </w:pPr>
      <w:r>
        <w:t xml:space="preserve">从267名男胎孕妇有放回重采样，保留每位被抽中主体的全部记录；对logit浓度附加</w:t>
      </w:r>
      <m:oMath>
        <m:r>
          <m:t>c</m:t>
        </m:r>
        <m:sSub>
          <m:e>
            <m:acc>
              <m:accPr>
                <m:chr m:val="̂"/>
              </m:accPr>
              <m:e>
                <m:r>
                  <m:t>σ</m:t>
                </m:r>
              </m:e>
            </m:acc>
          </m:e>
          <m:sub>
            <m:r>
              <m:t>m</m:t>
            </m:r>
          </m:sub>
        </m:sSub>
        <m:sSub>
          <m:e>
            <m:r>
              <m:t>ξ</m:t>
            </m:r>
          </m:e>
          <m:sub>
            <m:r>
              <m:t>i</m:t>
            </m:r>
            <m:r>
              <m:t>j</m:t>
            </m:r>
          </m:sub>
        </m:sSub>
      </m:oMath>
      <w:r>
        <w:t xml:space="preserve">，其中</w:t>
      </w:r>
      <m:oMath>
        <m:r>
          <m:t>c</m:t>
        </m:r>
        <m:r>
          <m:rPr>
            <m:sty m:val="p"/>
          </m:rPr>
          <m:t>∈</m:t>
        </m:r>
        <m:r>
          <m:rPr>
            <m:sty m:val="p"/>
          </m:rPr>
          <m:t>{</m:t>
        </m:r>
        <m:r>
          <m:t>0</m:t>
        </m:r>
        <m:r>
          <m:rPr>
            <m:sty m:val="p"/>
          </m:rPr>
          <m:t>,</m:t>
        </m:r>
        <m:r>
          <m:t>0.5</m:t>
        </m:r>
        <m:r>
          <m:rPr>
            <m:sty m:val="p"/>
          </m:rPr>
          <m:t>,</m:t>
        </m:r>
        <m:r>
          <m:t>1</m:t>
        </m:r>
        <m:r>
          <m:rPr>
            <m:sty m:val="p"/>
          </m:rPr>
          <m:t>,</m:t>
        </m:r>
        <m:r>
          <m:t>1.5</m:t>
        </m:r>
        <m:r>
          <m:rPr>
            <m:sty m:val="p"/>
          </m:rPr>
          <m:t>}</m:t>
        </m:r>
      </m:oMath>
      <w:r>
        <w:t xml:space="preserve">，再重新拟合、重新分组。共完成20轮、4个噪声水平、2种概率规格的160次拟合。表</w:t>
      </w:r>
      <w:hyperlink w:anchor="tab:noise">
        <w:r>
          <w:rPr>
            <w:rStyle w:val="Hyperlink"/>
          </w:rPr>
          <w:t xml:space="preserve">7</w:t>
        </w:r>
      </w:hyperlink>
      <w:r>
        <w:t xml:space="preserve">显示低延迟情景下主体平均推荐孕周的实际范围；不同噪声水平的中位数并不单调，不能概括为</w:t>
      </w:r>
      <w:r>
        <w:t xml:space="preserve">“</w:t>
      </w:r>
      <w:r>
        <w:t xml:space="preserve">误差越大越应提前检测</w:t>
      </w:r>
      <w:r>
        <w:t xml:space="preserve">”</w:t>
      </w:r>
      <w:r>
        <w:t xml:space="preserve">。</w:t>
      </w:r>
    </w:p>
    <w:bookmarkStart w:id="52" w:name="tab:noise"/>
    <w:p>
      <w:pPr>
        <w:pStyle w:val="TableCaption"/>
      </w:pPr>
      <w:r>
        <w:t xml:space="preserve">低延迟情景下主体平均推荐孕周的20轮分布</w:t>
      </w:r>
    </w:p>
    <w:tbl>
      <w:tblPr>
        <w:tblStyle w:val="Table"/>
        <w:tblW w:type="pct" w:w="0.0"/>
        <w:tblLook w:firstRow="1" w:lastRow="0" w:firstColumn="0" w:lastColumn="0" w:noHBand="0" w:noVBand="0" w:val="0020"/>
        <w:tblCaption w:val="低延迟情景下主体平均推荐孕周的20轮分布"/>
      </w:tblPr>
      <w:tblGrid/>
      <w:tr>
        <w:tc>
          <w:p>
            <w:pPr>
              <w:pStyle w:val="Compact"/>
              <w:jc w:val="left"/>
            </w:pPr>
            <w:r>
              <w:t xml:space="preserve">模型</w:t>
            </w:r>
          </w:p>
        </w:tc>
        <w:tc>
          <w:p>
            <w:pPr>
              <w:pStyle w:val="Compact"/>
              <w:jc w:val="right"/>
            </w:pPr>
            <w:r>
              <w:t xml:space="preserve">追加噪声倍数</w:t>
            </w:r>
          </w:p>
        </w:tc>
        <w:tc>
          <w:p>
            <w:pPr>
              <w:pStyle w:val="Compact"/>
              <w:jc w:val="right"/>
            </w:pPr>
            <w:r>
              <w:t xml:space="preserve">中位数／周</w:t>
            </w:r>
          </w:p>
        </w:tc>
        <w:tc>
          <w:p>
            <w:pPr>
              <w:pStyle w:val="Compact"/>
              <w:jc w:val="right"/>
            </w:pPr>
            <w:r>
              <w:t xml:space="preserve">实际范围／周</w:t>
            </w:r>
          </w:p>
        </w:tc>
      </w:tr>
      <w:tr>
        <w:tc>
          <w:p>
            <w:pPr>
              <w:pStyle w:val="Compact"/>
              <w:jc w:val="left"/>
            </w:pPr>
            <w:r>
              <w:t xml:space="preserve">Q2</w:t>
            </w:r>
          </w:p>
        </w:tc>
        <w:tc>
          <w:p>
            <w:pPr>
              <w:pStyle w:val="Compact"/>
              <w:jc w:val="right"/>
            </w:pPr>
            <w:r>
              <w:t xml:space="preserve">0</w:t>
            </w:r>
          </w:p>
        </w:tc>
        <w:tc>
          <w:p>
            <w:pPr>
              <w:pStyle w:val="Compact"/>
              <w:jc w:val="right"/>
            </w:pPr>
            <w:r>
              <w:t xml:space="preserve">14.95</w:t>
            </w:r>
          </w:p>
        </w:tc>
        <w:tc>
          <w:p>
            <w:pPr>
              <w:pStyle w:val="Compact"/>
              <w:jc w:val="right"/>
            </w:pPr>
            <w:r>
              <w:t xml:space="preserve">12.86–23.82</w:t>
            </w:r>
          </w:p>
        </w:tc>
      </w:tr>
      <w:tr>
        <w:tc>
          <w:p>
            <w:pPr>
              <w:pStyle w:val="Compact"/>
              <w:jc w:val="left"/>
            </w:pPr>
            <w:r>
              <w:t xml:space="preserve">Q2</w:t>
            </w:r>
          </w:p>
        </w:tc>
        <w:tc>
          <w:p>
            <w:pPr>
              <w:pStyle w:val="Compact"/>
              <w:jc w:val="right"/>
            </w:pPr>
            <w:r>
              <w:t xml:space="preserve">0.5</w:t>
            </w:r>
          </w:p>
        </w:tc>
        <w:tc>
          <w:p>
            <w:pPr>
              <w:pStyle w:val="Compact"/>
              <w:jc w:val="right"/>
            </w:pPr>
            <w:r>
              <w:t xml:space="preserve">15.02</w:t>
            </w:r>
          </w:p>
        </w:tc>
        <w:tc>
          <w:p>
            <w:pPr>
              <w:pStyle w:val="Compact"/>
              <w:jc w:val="right"/>
            </w:pPr>
            <w:r>
              <w:t xml:space="preserve">12.81–23.82</w:t>
            </w:r>
          </w:p>
        </w:tc>
      </w:tr>
      <w:tr>
        <w:tc>
          <w:p>
            <w:pPr>
              <w:pStyle w:val="Compact"/>
              <w:jc w:val="left"/>
            </w:pPr>
            <w:r>
              <w:t xml:space="preserve">Q2</w:t>
            </w:r>
          </w:p>
        </w:tc>
        <w:tc>
          <w:p>
            <w:pPr>
              <w:pStyle w:val="Compact"/>
              <w:jc w:val="right"/>
            </w:pPr>
            <w:r>
              <w:t xml:space="preserve">1.0</w:t>
            </w:r>
          </w:p>
        </w:tc>
        <w:tc>
          <w:p>
            <w:pPr>
              <w:pStyle w:val="Compact"/>
              <w:jc w:val="right"/>
            </w:pPr>
            <w:r>
              <w:t xml:space="preserve">14.43</w:t>
            </w:r>
          </w:p>
        </w:tc>
        <w:tc>
          <w:p>
            <w:pPr>
              <w:pStyle w:val="Compact"/>
              <w:jc w:val="right"/>
            </w:pPr>
            <w:r>
              <w:t xml:space="preserve">12.08–25.00</w:t>
            </w:r>
          </w:p>
        </w:tc>
      </w:tr>
      <w:tr>
        <w:tc>
          <w:p>
            <w:pPr>
              <w:pStyle w:val="Compact"/>
              <w:jc w:val="left"/>
            </w:pPr>
            <w:r>
              <w:t xml:space="preserve">Q2</w:t>
            </w:r>
          </w:p>
        </w:tc>
        <w:tc>
          <w:p>
            <w:pPr>
              <w:pStyle w:val="Compact"/>
              <w:jc w:val="right"/>
            </w:pPr>
            <w:r>
              <w:t xml:space="preserve">1.5</w:t>
            </w:r>
          </w:p>
        </w:tc>
        <w:tc>
          <w:p>
            <w:pPr>
              <w:pStyle w:val="Compact"/>
              <w:jc w:val="right"/>
            </w:pPr>
            <w:r>
              <w:t xml:space="preserve">14.77</w:t>
            </w:r>
          </w:p>
        </w:tc>
        <w:tc>
          <w:p>
            <w:pPr>
              <w:pStyle w:val="Compact"/>
              <w:jc w:val="right"/>
            </w:pPr>
            <w:r>
              <w:t xml:space="preserve">11.65–23.82</w:t>
            </w:r>
          </w:p>
        </w:tc>
      </w:tr>
      <w:tr>
        <w:tc>
          <w:p>
            <w:pPr>
              <w:pStyle w:val="Compact"/>
              <w:jc w:val="left"/>
            </w:pPr>
            <w:r>
              <w:t xml:space="preserve">基础扩展</w:t>
            </w:r>
          </w:p>
        </w:tc>
        <w:tc>
          <w:p>
            <w:pPr>
              <w:pStyle w:val="Compact"/>
              <w:jc w:val="right"/>
            </w:pPr>
            <w:r>
              <w:t xml:space="preserve">0</w:t>
            </w:r>
          </w:p>
        </w:tc>
        <w:tc>
          <w:p>
            <w:pPr>
              <w:pStyle w:val="Compact"/>
              <w:jc w:val="right"/>
            </w:pPr>
            <w:r>
              <w:t xml:space="preserve">15.27</w:t>
            </w:r>
          </w:p>
        </w:tc>
        <w:tc>
          <w:p>
            <w:pPr>
              <w:pStyle w:val="Compact"/>
              <w:jc w:val="right"/>
            </w:pPr>
            <w:r>
              <w:t xml:space="preserve">12.86–25.00</w:t>
            </w:r>
          </w:p>
        </w:tc>
      </w:tr>
      <w:tr>
        <w:tc>
          <w:p>
            <w:pPr>
              <w:pStyle w:val="Compact"/>
              <w:jc w:val="left"/>
            </w:pPr>
            <w:r>
              <w:t xml:space="preserve">基础扩展</w:t>
            </w:r>
          </w:p>
        </w:tc>
        <w:tc>
          <w:p>
            <w:pPr>
              <w:pStyle w:val="Compact"/>
              <w:jc w:val="right"/>
            </w:pPr>
            <w:r>
              <w:t xml:space="preserve">0.5</w:t>
            </w:r>
          </w:p>
        </w:tc>
        <w:tc>
          <w:p>
            <w:pPr>
              <w:pStyle w:val="Compact"/>
              <w:jc w:val="right"/>
            </w:pPr>
            <w:r>
              <w:t xml:space="preserve">15.27</w:t>
            </w:r>
          </w:p>
        </w:tc>
        <w:tc>
          <w:p>
            <w:pPr>
              <w:pStyle w:val="Compact"/>
              <w:jc w:val="right"/>
            </w:pPr>
            <w:r>
              <w:t xml:space="preserve">12.71–23.73</w:t>
            </w:r>
          </w:p>
        </w:tc>
      </w:tr>
      <w:tr>
        <w:tc>
          <w:p>
            <w:pPr>
              <w:pStyle w:val="Compact"/>
              <w:jc w:val="left"/>
            </w:pPr>
            <w:r>
              <w:t xml:space="preserve">基础扩展</w:t>
            </w:r>
          </w:p>
        </w:tc>
        <w:tc>
          <w:p>
            <w:pPr>
              <w:pStyle w:val="Compact"/>
              <w:jc w:val="right"/>
            </w:pPr>
            <w:r>
              <w:t xml:space="preserve">1.0</w:t>
            </w:r>
          </w:p>
        </w:tc>
        <w:tc>
          <w:p>
            <w:pPr>
              <w:pStyle w:val="Compact"/>
              <w:jc w:val="right"/>
            </w:pPr>
            <w:r>
              <w:t xml:space="preserve">14.88</w:t>
            </w:r>
          </w:p>
        </w:tc>
        <w:tc>
          <w:p>
            <w:pPr>
              <w:pStyle w:val="Compact"/>
              <w:jc w:val="right"/>
            </w:pPr>
            <w:r>
              <w:t xml:space="preserve">12.13–25.00</w:t>
            </w:r>
          </w:p>
        </w:tc>
      </w:tr>
      <w:tr>
        <w:tc>
          <w:p>
            <w:pPr>
              <w:pStyle w:val="Compact"/>
              <w:jc w:val="left"/>
            </w:pPr>
            <w:r>
              <w:t xml:space="preserve">基础扩展</w:t>
            </w:r>
          </w:p>
        </w:tc>
        <w:tc>
          <w:p>
            <w:pPr>
              <w:pStyle w:val="Compact"/>
              <w:jc w:val="right"/>
            </w:pPr>
            <w:r>
              <w:t xml:space="preserve">1.5</w:t>
            </w:r>
          </w:p>
        </w:tc>
        <w:tc>
          <w:p>
            <w:pPr>
              <w:pStyle w:val="Compact"/>
              <w:jc w:val="right"/>
            </w:pPr>
            <w:r>
              <w:t xml:space="preserve">14.68</w:t>
            </w:r>
          </w:p>
        </w:tc>
        <w:tc>
          <w:p>
            <w:pPr>
              <w:pStyle w:val="Compact"/>
              <w:jc w:val="right"/>
            </w:pPr>
            <w:r>
              <w:t xml:space="preserve">11.61–23.82</w:t>
            </w:r>
          </w:p>
        </w:tc>
      </w:tr>
    </w:tbl>
    <w:bookmarkEnd w:id="52"/>
    <w:bookmarkEnd w:id="53"/>
    <w:bookmarkEnd w:id="54"/>
    <w:bookmarkStart w:id="66" w:name="问题四女胎异常标记的概率判定"/>
    <w:p>
      <w:pPr>
        <w:pStyle w:val="Heading2"/>
      </w:pPr>
      <w:r>
        <w:t xml:space="preserve">问题四：女胎异常标记的概率判定</w:t>
      </w:r>
    </w:p>
    <w:p>
      <w:pPr>
        <w:pStyle w:val="FirstParagraph"/>
      </w:pPr>
      <w:r>
        <w:t xml:space="preserve">女胎孕妇无 Y 信号，需从测序统计特征判定 13、18、21 号染色体异常。首先按</w:t>
      </w:r>
      <w:r>
        <w:t xml:space="preserve">“</w:t>
      </w:r>
      <w:r>
        <w:t xml:space="preserve">染色体的非整倍体</w:t>
      </w:r>
      <w:r>
        <w:t xml:space="preserve">”</w:t>
      </w:r>
      <w:r>
        <w:t xml:space="preserve">列构造任一异常标签</w:t>
      </w:r>
      <w:r>
        <w:t xml:space="preserve"> </w:t>
      </w:r>
      <m:oMath>
        <m:sSub>
          <m:e>
            <m:r>
              <m:t>A</m:t>
            </m:r>
          </m:e>
          <m:sub>
            <m:r>
              <m:rPr>
                <m:sty m:val="p"/>
              </m:rPr>
              <m:t>a</m:t>
            </m:r>
            <m:r>
              <m:rPr>
                <m:sty m:val="p"/>
              </m:rPr>
              <m:t>n</m:t>
            </m:r>
            <m:r>
              <m:rPr>
                <m:sty m:val="p"/>
              </m:rPr>
              <m:t>y</m:t>
            </m:r>
          </m:sub>
        </m:sSub>
      </m:oMath>
      <w:r>
        <w:t xml:space="preserve">：67 条阳性记录、44 名独立阳性孕妇（29.9%），类别高度不平衡；同一孕妇多次检测，故验证必须以孕妇为分组单位，防止泄漏。</w:t>
      </w:r>
    </w:p>
    <w:bookmarkStart w:id="55" w:name="规则基线z-值规则的失效"/>
    <w:p>
      <w:pPr>
        <w:pStyle w:val="Heading3"/>
      </w:pPr>
      <w:r>
        <w:t xml:space="preserve">规则基线：Z 值规则的失效</w:t>
      </w:r>
    </w:p>
    <w:p>
      <w:pPr>
        <w:pStyle w:val="FirstParagraph"/>
      </w:pPr>
      <w:r>
        <w:t xml:space="preserve">临床常用</w:t>
      </w:r>
      <w:r>
        <w:t xml:space="preserve"> </w:t>
      </w:r>
      <m:oMath>
        <m:r>
          <m:rPr>
            <m:nor/>
            <m:sty m:val="p"/>
          </m:rPr>
          <m:t>max</m:t>
        </m:r>
        <m:r>
          <m:rPr>
            <m:sty m:val="p"/>
          </m:rPr>
          <m:t>(</m:t>
        </m:r>
        <m:r>
          <m:rPr>
            <m:sty m:val="p"/>
          </m:rPr>
          <m:t>|</m:t>
        </m:r>
        <m:sSub>
          <m:e>
            <m:r>
              <m:t>Z</m:t>
            </m:r>
          </m:e>
          <m:sub>
            <m:r>
              <m:t>13</m:t>
            </m:r>
          </m:sub>
        </m:sSub>
        <m:r>
          <m:rPr>
            <m:sty m:val="p"/>
          </m:rPr>
          <m:t>|</m:t>
        </m:r>
        <m:r>
          <m:rPr>
            <m:sty m:val="p"/>
          </m:rPr>
          <m:t>,</m:t>
        </m:r>
        <m:r>
          <m:rPr>
            <m:sty m:val="p"/>
          </m:rPr>
          <m:t>|</m:t>
        </m:r>
        <m:sSub>
          <m:e>
            <m:r>
              <m:t>Z</m:t>
            </m:r>
          </m:e>
          <m:sub>
            <m:r>
              <m:t>18</m:t>
            </m:r>
          </m:sub>
        </m:sSub>
        <m:r>
          <m:rPr>
            <m:sty m:val="p"/>
          </m:rPr>
          <m:t>|</m:t>
        </m:r>
        <m:r>
          <m:rPr>
            <m:sty m:val="p"/>
          </m:rPr>
          <m:t>,</m:t>
        </m:r>
        <m:r>
          <m:rPr>
            <m:sty m:val="p"/>
          </m:rPr>
          <m:t>|</m:t>
        </m:r>
        <m:sSub>
          <m:e>
            <m:r>
              <m:t>Z</m:t>
            </m:r>
          </m:e>
          <m:sub>
            <m:r>
              <m:t>21</m:t>
            </m:r>
          </m:sub>
        </m:sSub>
        <m:r>
          <m:rPr>
            <m:sty m:val="p"/>
          </m:rPr>
          <m:t>|</m:t>
        </m:r>
        <m:r>
          <m:rPr>
            <m:sty m:val="p"/>
          </m:rPr>
          <m:t>)</m:t>
        </m:r>
        <m:r>
          <m:rPr>
            <m:sty m:val="p"/>
          </m:rPr>
          <m:t>≥</m:t>
        </m:r>
        <m:r>
          <m:t>3</m:t>
        </m:r>
      </m:oMath>
      <w:r>
        <w:t xml:space="preserve"> </w:t>
      </w:r>
      <w:r>
        <w:t xml:space="preserve">判定异常。本数据中该规则仅召回 67 例阳性中的 4 例（5.97%），同时产生 41 例假阳性；以连续 Z 值评分计算的 AUC 仅 0.479。原因在于异常样本的 Z 值大多未超 3，且 GC 含量偏移对读段计数有系统影响，固定阈值不适合本数据。</w:t>
      </w:r>
    </w:p>
    <w:bookmarkEnd w:id="55"/>
    <w:bookmarkStart w:id="56" w:name="elastic-net-主模型与嵌套验证"/>
    <w:p>
      <w:pPr>
        <w:pStyle w:val="Heading3"/>
      </w:pPr>
      <w:r>
        <w:t xml:space="preserve">Elastic-Net 主模型与嵌套验证</w:t>
      </w:r>
    </w:p>
    <w:p>
      <w:pPr>
        <w:pStyle w:val="FirstParagraph"/>
      </w:pPr>
      <w:r>
        <w:t xml:space="preserve">输入 16 个特征：13/18/21/X 染色体 Z 值与 GC 含量、X 染色体浓度、比对/重复/过滤比例、log 读段数、BMI 与年龄。以带类别平衡权重的 Elastic-Net Logistic 为主模型：</w:t>
      </w:r>
    </w:p>
    <w:p>
      <w:pPr>
        <w:pStyle w:val="BodyText"/>
      </w:pPr>
      <m:oMathPara>
        <m:oMathParaPr>
          <m:jc m:val="center"/>
        </m:oMathParaPr>
        <m:oMath>
          <m:sSub>
            <m:e>
              <m:r>
                <m:rPr>
                  <m:sty m:val="p"/>
                </m:rPr>
                <m:t>m</m:t>
              </m:r>
              <m:r>
                <m:rPr>
                  <m:sty m:val="p"/>
                </m:rPr>
                <m:t>i</m:t>
              </m:r>
              <m:r>
                <m:rPr>
                  <m:sty m:val="p"/>
                </m:rPr>
                <m:t>n</m:t>
              </m:r>
            </m:e>
            <m:sub>
              <m:r>
                <m:t>β</m:t>
              </m:r>
            </m:sub>
          </m:sSub>
          <m:r>
            <m:t> </m:t>
          </m:r>
          <m:r>
            <m:rPr>
              <m:sty m:val="p"/>
            </m:rPr>
            <m:t>−</m:t>
          </m:r>
          <m:f>
            <m:fPr>
              <m:type m:val="bar"/>
            </m:fPr>
            <m:num>
              <m:r>
                <m:t>1</m:t>
              </m:r>
            </m:num>
            <m:den>
              <m:r>
                <m:t>n</m:t>
              </m:r>
            </m:den>
          </m:f>
          <m:nary>
            <m:naryPr>
              <m:chr m:val="∑"/>
              <m:limLoc m:val="undOvr"/>
              <m:subHide m:val="0"/>
              <m:supHide m:val="1"/>
            </m:naryPr>
            <m:sub>
              <m:r>
                <m:t>i</m:t>
              </m:r>
            </m:sub>
            <m:sup>
              <m:r>
                <m:t>​</m:t>
              </m:r>
            </m:sup>
            <m:e>
              <m:sSub>
                <m:e>
                  <m:r>
                    <m:t>w</m:t>
                  </m:r>
                </m:e>
                <m:sub>
                  <m:sSub>
                    <m:e>
                      <m:r>
                        <m:t>y</m:t>
                      </m:r>
                    </m:e>
                    <m:sub>
                      <m:r>
                        <m:t>i</m:t>
                      </m:r>
                    </m:sub>
                  </m:sSub>
                </m:sub>
              </m:sSub>
            </m:e>
          </m:nary>
          <m:r>
            <m:rPr>
              <m:sty m:val="p"/>
            </m:rPr>
            <m:t>{</m:t>
          </m:r>
          <m:sSub>
            <m:e>
              <m:r>
                <m:t>y</m:t>
              </m:r>
            </m:e>
            <m:sub>
              <m:r>
                <m:t>i</m:t>
              </m:r>
            </m:sub>
          </m:sSub>
          <m:r>
            <m:rPr>
              <m:nor/>
              <m:sty m:val="p"/>
            </m:rPr>
            <m:t>ln</m:t>
          </m:r>
          <m:sSub>
            <m:e>
              <m:r>
                <m:t>p</m:t>
              </m:r>
            </m:e>
            <m:sub>
              <m:r>
                <m:t>i</m:t>
              </m:r>
            </m:sub>
          </m:sSub>
          <m:r>
            <m:rPr>
              <m:sty m:val="p"/>
            </m:rPr>
            <m:t>+</m:t>
          </m:r>
          <m:r>
            <m:rPr>
              <m:sty m:val="p"/>
            </m:rPr>
            <m:t>(</m:t>
          </m:r>
          <m:r>
            <m:t>1</m:t>
          </m:r>
          <m:r>
            <m:rPr>
              <m:sty m:val="p"/>
            </m:rPr>
            <m:t>−</m:t>
          </m:r>
          <m:sSub>
            <m:e>
              <m:r>
                <m:t>y</m:t>
              </m:r>
            </m:e>
            <m:sub>
              <m:r>
                <m:t>i</m:t>
              </m:r>
            </m:sub>
          </m:sSub>
          <m:r>
            <m:rPr>
              <m:sty m:val="p"/>
            </m:rPr>
            <m:t>)</m:t>
          </m:r>
          <m:r>
            <m:rPr>
              <m:nor/>
              <m:sty m:val="p"/>
            </m:rPr>
            <m:t>ln</m:t>
          </m:r>
          <m:r>
            <m:rPr>
              <m:sty m:val="p"/>
            </m:rPr>
            <m:t>(</m:t>
          </m:r>
          <m:r>
            <m:t>1</m:t>
          </m:r>
          <m:r>
            <m:rPr>
              <m:sty m:val="p"/>
            </m:rPr>
            <m:t>−</m:t>
          </m:r>
          <m:sSub>
            <m:e>
              <m:r>
                <m:t>p</m:t>
              </m:r>
            </m:e>
            <m:sub>
              <m:r>
                <m:t>i</m:t>
              </m:r>
            </m:sub>
          </m:sSub>
          <m:r>
            <m:rPr>
              <m:sty m:val="p"/>
            </m:rPr>
            <m:t>)</m:t>
          </m:r>
          <m:r>
            <m:rPr>
              <m:sty m:val="p"/>
            </m:rPr>
            <m:t>}</m:t>
          </m:r>
          <m:r>
            <m:rPr>
              <m:sty m:val="p"/>
            </m:rPr>
            <m:t>+</m:t>
          </m:r>
          <m:r>
            <m:t>λ</m:t>
          </m:r>
          <m:r>
            <m:rPr>
              <m:sty m:val="p"/>
            </m:rPr>
            <m:t>(</m:t>
          </m:r>
          <m:r>
            <m:t>0.5</m:t>
          </m:r>
          <m:r>
            <m:rPr>
              <m:sty m:val="p"/>
            </m:rPr>
            <m:t>∥</m:t>
          </m:r>
          <m:r>
            <m:t>β</m:t>
          </m:r>
          <m:sSub>
            <m:e>
              <m:r>
                <m:rPr>
                  <m:sty m:val="p"/>
                </m:rPr>
                <m:t>∥</m:t>
              </m:r>
            </m:e>
            <m:sub>
              <m:r>
                <m:t>1</m:t>
              </m:r>
            </m:sub>
          </m:sSub>
          <m:r>
            <m:rPr>
              <m:sty m:val="p"/>
            </m:rPr>
            <m:t>+</m:t>
          </m:r>
          <m:r>
            <m:t>0.25</m:t>
          </m:r>
          <m:r>
            <m:rPr>
              <m:sty m:val="p"/>
            </m:rPr>
            <m:t>∥</m:t>
          </m:r>
          <m:r>
            <m:t>β</m:t>
          </m:r>
          <m:sSubSup>
            <m:e>
              <m:r>
                <m:rPr>
                  <m:sty m:val="p"/>
                </m:rPr>
                <m:t>∥</m:t>
              </m:r>
            </m:e>
            <m:sub>
              <m:r>
                <m:t>2</m:t>
              </m:r>
            </m:sub>
            <m:sup>
              <m:r>
                <m:t>2</m:t>
              </m:r>
            </m:sup>
          </m:sSubSup>
          <m:r>
            <m:rPr>
              <m:sty m:val="p"/>
            </m:rPr>
            <m:t>)</m:t>
          </m:r>
          <m:r>
            <m:rPr>
              <m:sty m:val="p"/>
            </m:rPr>
            <m:t>,</m:t>
          </m:r>
        </m:oMath>
      </m:oMathPara>
    </w:p>
    <w:p>
      <w:pPr>
        <w:pStyle w:val="FirstParagraph"/>
      </w:pPr>
      <w:r>
        <w:t xml:space="preserve">其中</w:t>
      </w:r>
      <w:r>
        <w:t xml:space="preserve"> </w:t>
      </w:r>
      <m:oMath>
        <m:r>
          <m:t>C</m:t>
        </m:r>
        <m:r>
          <m:rPr>
            <m:sty m:val="p"/>
          </m:rPr>
          <m:t>=</m:t>
        </m:r>
        <m:r>
          <m:t>1</m:t>
        </m:r>
        <m:r>
          <m:rPr>
            <m:sty m:val="p"/>
          </m:rPr>
          <m:t>/</m:t>
        </m:r>
        <m:r>
          <m:t>λ</m:t>
        </m:r>
      </m:oMath>
      <w:r>
        <w:t xml:space="preserve"> </w:t>
      </w:r>
      <w:r>
        <w:t xml:space="preserve">与判定阈值</w:t>
      </w:r>
      <w:r>
        <w:t xml:space="preserve"> </w:t>
      </w:r>
      <m:oMath>
        <m:r>
          <m:t>τ</m:t>
        </m:r>
      </m:oMath>
      <w:r>
        <w:t xml:space="preserve"> </w:t>
      </w:r>
      <w:r>
        <w:t xml:space="preserve">仅由内层训练折选择。验证设计：外层 StratifiedGroupKFold 5 折（按孕妇分组并按标签分层），内层 3 折主体分组选择</w:t>
      </w:r>
      <w:r>
        <w:t xml:space="preserve"> </w:t>
      </w:r>
      <m:oMath>
        <m:r>
          <m:t>C</m:t>
        </m:r>
      </m:oMath>
      <w:r>
        <w:t xml:space="preserve">（PR-AUC 最大）与</w:t>
      </w:r>
      <w:r>
        <w:t xml:space="preserve"> </w:t>
      </w:r>
      <m:oMath>
        <m:r>
          <m:t>τ</m:t>
        </m:r>
      </m:oMath>
      <w:r>
        <w:t xml:space="preserve">（F2 最大）；外层测试折不参与填补、标准化、拟合或阈值选择。预处理（标准化、中位数填补）嵌入训练管线，只在训练折内估计。</w:t>
      </w:r>
    </w:p>
    <w:bookmarkEnd w:id="56"/>
    <w:bookmarkStart w:id="62" w:name="外层结果与校准"/>
    <w:p>
      <w:pPr>
        <w:pStyle w:val="Heading3"/>
      </w:pPr>
      <w:r>
        <w:t xml:space="preserve">外层结果与校准</w:t>
      </w:r>
    </w:p>
    <w:p>
      <w:pPr>
        <w:pStyle w:val="FirstParagraph"/>
      </w:pPr>
      <w:r>
        <w:t xml:space="preserve">表</w:t>
      </w:r>
      <w:hyperlink w:anchor="tab:q4main">
        <w:r>
          <w:rPr>
            <w:rStyle w:val="Hyperlink"/>
          </w:rPr>
          <w:t xml:space="preserve">8</w:t>
        </w:r>
      </w:hyperlink>
      <w:r>
        <w:t xml:space="preserve">汇总外层 OOF 指标。ROC-AUC 0.808（主体 Bootstrap 95%CI [0.756, 0.859]）、PR-AUC 0.460、Brier 0.160（CI [0.145, 0.176]）。各折内层所选阈值的汇总中位数为 0.491，在该嵌套阈值下敏感度 68.7%、特异度 77.3%。随机森林对照训练 AUC 为 1.000（过拟合），不作主模型。</w:t>
      </w:r>
    </w:p>
    <w:bookmarkStart w:id="57" w:name="tab:q4main"/>
    <w:p>
      <w:pPr>
        <w:pStyle w:val="TableCaption"/>
      </w:pPr>
      <w:r>
        <w:t xml:space="preserve">问题四：A_any 外层 OOF 汇总指标（Elastic-Net，嵌套阈值）</w:t>
      </w:r>
    </w:p>
    <w:tbl>
      <w:tblPr>
        <w:tblStyle w:val="Table"/>
        <w:tblW w:type="pct" w:w="0.0"/>
        <w:tblLook w:firstRow="1" w:lastRow="0" w:firstColumn="0" w:lastColumn="0" w:noHBand="0" w:noVBand="0" w:val="0020"/>
        <w:tblCaption w:val="问题四：A_any 外层 OOF 汇总指标（Elastic-Net，嵌套阈值）"/>
      </w:tblPr>
      <w:tblGrid/>
      <w:tr>
        <w:tc>
          <w:p>
            <w:pPr>
              <w:pStyle w:val="Compact"/>
              <w:jc w:val="left"/>
            </w:pPr>
            <w:r>
              <w:t xml:space="preserve">指标</w:t>
            </w:r>
          </w:p>
        </w:tc>
        <w:tc>
          <w:p>
            <w:pPr>
              <w:pStyle w:val="Compact"/>
              <w:jc w:val="center"/>
            </w:pPr>
            <w:r>
              <w:t xml:space="preserve">数值</w:t>
            </w:r>
          </w:p>
        </w:tc>
        <w:tc>
          <w:p>
            <w:pPr>
              <w:pStyle w:val="Compact"/>
              <w:jc w:val="left"/>
            </w:pPr>
            <w:r>
              <w:t xml:space="preserve">备注</w:t>
            </w:r>
          </w:p>
        </w:tc>
      </w:tr>
      <w:tr>
        <w:tc>
          <w:p>
            <w:pPr>
              <w:pStyle w:val="Compact"/>
              <w:jc w:val="left"/>
            </w:pPr>
            <w:r>
              <w:t xml:space="preserve">ROC-AUC</w:t>
            </w:r>
          </w:p>
        </w:tc>
        <w:tc>
          <w:p>
            <w:pPr>
              <w:pStyle w:val="Compact"/>
              <w:jc w:val="center"/>
            </w:pPr>
            <w:r>
              <w:t xml:space="preserve">0.808</w:t>
            </w:r>
          </w:p>
        </w:tc>
        <w:tc>
          <w:p>
            <w:pPr>
              <w:pStyle w:val="Compact"/>
              <w:jc w:val="left"/>
            </w:pPr>
            <w:r>
              <w:t xml:space="preserve">主体 Bootstrap 95%CI [0.756,0.859]</w:t>
            </w:r>
          </w:p>
        </w:tc>
      </w:tr>
      <w:tr>
        <w:tc>
          <w:p>
            <w:pPr>
              <w:pStyle w:val="Compact"/>
              <w:jc w:val="left"/>
            </w:pPr>
            <w:r>
              <w:t xml:space="preserve">PR-AUC</w:t>
            </w:r>
          </w:p>
        </w:tc>
        <w:tc>
          <w:p>
            <w:pPr>
              <w:pStyle w:val="Compact"/>
              <w:jc w:val="center"/>
            </w:pPr>
            <w:r>
              <w:t xml:space="preserve">0.460</w:t>
            </w:r>
          </w:p>
        </w:tc>
        <w:tc>
          <w:p>
            <w:pPr>
              <w:pStyle w:val="Compact"/>
              <w:jc w:val="left"/>
            </w:pPr>
            <w:r>
              <w:t xml:space="preserve">类别不平衡敏感</w:t>
            </w:r>
          </w:p>
        </w:tc>
      </w:tr>
      <w:tr>
        <w:tc>
          <w:p>
            <w:pPr>
              <w:pStyle w:val="Compact"/>
              <w:jc w:val="left"/>
            </w:pPr>
            <w:r>
              <w:t xml:space="preserve">Brier</w:t>
            </w:r>
          </w:p>
        </w:tc>
        <w:tc>
          <w:p>
            <w:pPr>
              <w:pStyle w:val="Compact"/>
              <w:jc w:val="center"/>
            </w:pPr>
            <w:r>
              <w:t xml:space="preserve">0.160</w:t>
            </w:r>
          </w:p>
        </w:tc>
        <w:tc>
          <w:p>
            <w:pPr>
              <w:pStyle w:val="Compact"/>
              <w:jc w:val="left"/>
            </w:pPr>
            <w:r>
              <w:t xml:space="preserve">95%CI [0.145,0.176]</w:t>
            </w:r>
          </w:p>
        </w:tc>
      </w:tr>
      <w:tr>
        <w:tc>
          <w:p>
            <w:pPr>
              <w:pStyle w:val="Compact"/>
              <w:jc w:val="left"/>
            </w:pPr>
            <w:r>
              <w:t xml:space="preserve">嵌套阈值</w:t>
            </w:r>
            <m:oMath>
              <m:r>
                <m:t>τ</m:t>
              </m:r>
            </m:oMath>
            <w:r>
              <w:t xml:space="preserve">中位</w:t>
            </w:r>
          </w:p>
        </w:tc>
        <w:tc>
          <w:p>
            <w:pPr>
              <w:pStyle w:val="Compact"/>
              <w:jc w:val="center"/>
            </w:pPr>
            <w:r>
              <w:t xml:space="preserve">0.491</w:t>
            </w:r>
          </w:p>
        </w:tc>
        <w:tc>
          <w:p>
            <w:pPr>
              <w:pStyle w:val="Compact"/>
              <w:jc w:val="left"/>
            </w:pPr>
            <w:r>
              <w:t xml:space="preserve">各折自选，非全局</w:t>
            </w:r>
          </w:p>
        </w:tc>
      </w:tr>
      <w:tr>
        <w:tc>
          <w:p>
            <w:pPr>
              <w:pStyle w:val="Compact"/>
              <w:jc w:val="left"/>
            </w:pPr>
            <w:r>
              <w:t xml:space="preserve">敏感度／特异度</w:t>
            </w:r>
          </w:p>
        </w:tc>
        <w:tc>
          <w:p>
            <w:pPr>
              <w:pStyle w:val="Compact"/>
              <w:jc w:val="center"/>
            </w:pPr>
            <w:r>
              <w:t xml:space="preserve">68.7%／77.3%</w:t>
            </w:r>
          </w:p>
        </w:tc>
        <w:tc>
          <w:p>
            <w:pPr>
              <w:pStyle w:val="Compact"/>
              <w:jc w:val="left"/>
            </w:pPr>
            <w:r>
              <w:t xml:space="preserve">嵌套阈值下</w:t>
            </w:r>
          </w:p>
        </w:tc>
      </w:tr>
      <w:tr>
        <w:tc>
          <w:p>
            <w:pPr>
              <w:pStyle w:val="Compact"/>
              <w:jc w:val="left"/>
            </w:pPr>
            <w:r>
              <w:t xml:space="preserve">PPV／NPV</w:t>
            </w:r>
          </w:p>
        </w:tc>
        <w:tc>
          <w:p>
            <w:pPr>
              <w:pStyle w:val="Compact"/>
              <w:jc w:val="center"/>
            </w:pPr>
            <w:r>
              <w:t xml:space="preserve">27.4%／95.2%</w:t>
            </w:r>
          </w:p>
        </w:tc>
        <w:tc>
          <w:p/>
        </w:tc>
      </w:tr>
    </w:tbl>
    <w:bookmarkEnd w:id="57"/>
    <w:p>
      <w:pPr>
        <w:pStyle w:val="CaptionedFigure"/>
      </w:pPr>
      <w:bookmarkStart w:id="59" w:name="fig:q4roc"/>
      <w:r>
        <w:drawing>
          <wp:inline>
            <wp:extent cx="5334000" cy="2333625"/>
            <wp:effectExtent b="0" l="0" r="0" t="0"/>
            <wp:docPr descr="问题四外层 ROC 与 PR 曲线" title="" id="1" name="Picture"/>
            <a:graphic>
              <a:graphicData uri="http://schemas.openxmlformats.org/drawingml/2006/picture">
                <pic:pic>
                  <pic:nvPicPr>
                    <pic:cNvPr descr="figures/result_q4_roc_pr.png" id="0" name="Picture"/>
                    <pic:cNvPicPr>
                      <a:picLocks noChangeArrowheads="1" noChangeAspect="1"/>
                    </pic:cNvPicPr>
                  </pic:nvPicPr>
                  <pic:blipFill>
                    <a:blip r:embed="rId58"/>
                    <a:stretch>
                      <a:fillRect/>
                    </a:stretch>
                  </pic:blipFill>
                  <pic:spPr bwMode="auto">
                    <a:xfrm>
                      <a:off x="0" y="0"/>
                      <a:ext cx="5334000" cy="2333625"/>
                    </a:xfrm>
                    <a:prstGeom prst="rect">
                      <a:avLst/>
                    </a:prstGeom>
                    <a:noFill/>
                    <a:ln w="9525">
                      <a:noFill/>
                      <a:headEnd/>
                      <a:tailEnd/>
                    </a:ln>
                  </pic:spPr>
                </pic:pic>
              </a:graphicData>
            </a:graphic>
          </wp:inline>
        </w:drawing>
      </w:r>
      <w:bookmarkEnd w:id="59"/>
    </w:p>
    <w:p>
      <w:pPr>
        <w:pStyle w:val="ImageCaption"/>
      </w:pPr>
      <w:r>
        <w:t xml:space="preserve">问题四外层 ROC 与 PR 曲线</w:t>
      </w:r>
    </w:p>
    <w:p>
      <w:pPr>
        <w:pStyle w:val="BodyText"/>
      </w:pPr>
      <w:r>
        <w:t xml:space="preserve">校准采用固定分箱描述：图</w:t>
      </w:r>
      <w:hyperlink w:anchor="fig:q4calnew">
        <w:r>
          <w:rPr>
            <w:rStyle w:val="Hyperlink"/>
          </w:rPr>
          <w:t xml:space="preserve">9</w:t>
        </w:r>
      </w:hyperlink>
      <w:r>
        <w:t xml:space="preserve">显示概率与观测率大体一致，高概率段（</w:t>
      </w:r>
      <m:oMath>
        <m:r>
          <m:rPr>
            <m:sty m:val="p"/>
          </m:rPr>
          <m:t>&gt;</m:t>
        </m:r>
      </m:oMath>
      <w:r>
        <w:t xml:space="preserve">0.95）略偏乐观且箱内样本少，解读需结合支持人数。</w:t>
      </w:r>
    </w:p>
    <w:p>
      <w:pPr>
        <w:pStyle w:val="CaptionedFigure"/>
      </w:pPr>
      <w:bookmarkStart w:id="61" w:name="fig:q4calnew"/>
      <w:r>
        <w:drawing>
          <wp:inline>
            <wp:extent cx="5334000" cy="3911600"/>
            <wp:effectExtent b="0" l="0" r="0" t="0"/>
            <wp:docPr descr="问题四 A_any 概率校准（固定分箱，记录级描述）" title="" id="1" name="Picture"/>
            <a:graphic>
              <a:graphicData uri="http://schemas.openxmlformats.org/drawingml/2006/picture">
                <pic:pic>
                  <pic:nvPicPr>
                    <pic:cNvPr descr="figures/process_q4_calibration.png" id="0" name="Picture"/>
                    <pic:cNvPicPr>
                      <a:picLocks noChangeArrowheads="1" noChangeAspect="1"/>
                    </pic:cNvPicPr>
                  </pic:nvPicPr>
                  <pic:blipFill>
                    <a:blip r:embed="rId60"/>
                    <a:stretch>
                      <a:fillRect/>
                    </a:stretch>
                  </pic:blipFill>
                  <pic:spPr bwMode="auto">
                    <a:xfrm>
                      <a:off x="0" y="0"/>
                      <a:ext cx="5334000" cy="3911600"/>
                    </a:xfrm>
                    <a:prstGeom prst="rect">
                      <a:avLst/>
                    </a:prstGeom>
                    <a:noFill/>
                    <a:ln w="9525">
                      <a:noFill/>
                      <a:headEnd/>
                      <a:tailEnd/>
                    </a:ln>
                  </pic:spPr>
                </pic:pic>
              </a:graphicData>
            </a:graphic>
          </wp:inline>
        </w:drawing>
      </w:r>
      <w:bookmarkEnd w:id="61"/>
    </w:p>
    <w:p>
      <w:pPr>
        <w:pStyle w:val="ImageCaption"/>
      </w:pPr>
      <w:r>
        <w:t xml:space="preserve">问题四 A_any 概率校准（固定分箱，记录级描述）</w:t>
      </w:r>
    </w:p>
    <w:bookmarkEnd w:id="62"/>
    <w:bookmarkStart w:id="64" w:name="特征贡献"/>
    <w:p>
      <w:pPr>
        <w:pStyle w:val="Heading3"/>
      </w:pPr>
      <w:r>
        <w:t xml:space="preserve">特征贡献</w:t>
      </w:r>
    </w:p>
    <w:p>
      <w:pPr>
        <w:pStyle w:val="FirstParagraph"/>
      </w:pPr>
      <w:r>
        <w:t xml:space="preserve">表</w:t>
      </w:r>
      <w:hyperlink w:anchor="tab:q4coefnew">
        <w:r>
          <w:rPr>
            <w:rStyle w:val="Hyperlink"/>
          </w:rPr>
          <w:t xml:space="preserve">9</w:t>
        </w:r>
      </w:hyperlink>
      <w:r>
        <w:t xml:space="preserve">给出 5 个外层折最终模型标准化系数的中位数（按绝对值取前 6）。GC 含量类特征与 X 染色体浓度贡献最大，三条异常染色体的 Z 值系数反而较小——与 Z 规则失效的原因一致；此处仅报告判别贡献，不作因果推断。</w:t>
      </w:r>
    </w:p>
    <w:bookmarkStart w:id="63" w:name="tab:q4coefnew"/>
    <w:p>
      <w:pPr>
        <w:pStyle w:val="TableCaption"/>
      </w:pPr>
      <w:r>
        <w:t xml:space="preserve">Elastic-Net 标准化系数（5 折中位数，绝对值前 6）</w:t>
      </w:r>
    </w:p>
    <w:tbl>
      <w:tblPr>
        <w:tblStyle w:val="Table"/>
        <w:tblW w:type="pct" w:w="0.0"/>
        <w:tblLook w:firstRow="1" w:lastRow="0" w:firstColumn="0" w:lastColumn="0" w:noHBand="0" w:noVBand="0" w:val="0020"/>
        <w:tblCaption w:val="Elastic-Net 标准化系数（5 折中位数，绝对值前 6）"/>
      </w:tblPr>
      <w:tblGrid/>
      <w:tr>
        <w:tc>
          <w:p>
            <w:pPr>
              <w:pStyle w:val="Compact"/>
              <w:jc w:val="left"/>
            </w:pPr>
            <w:r>
              <w:t xml:space="preserve">特征</w:t>
            </w:r>
          </w:p>
        </w:tc>
        <w:tc>
          <w:p>
            <w:pPr>
              <w:pStyle w:val="Compact"/>
              <w:jc w:val="center"/>
            </w:pPr>
            <w:r>
              <w:t xml:space="preserve">系数</w:t>
            </w:r>
          </w:p>
        </w:tc>
        <w:tc>
          <w:p/>
        </w:tc>
        <w:tc>
          <w:p>
            <w:pPr>
              <w:pStyle w:val="Compact"/>
              <w:jc w:val="left"/>
            </w:pPr>
            <w:r>
              <w:t xml:space="preserve">特征</w:t>
            </w:r>
          </w:p>
        </w:tc>
        <w:tc>
          <w:p>
            <w:pPr>
              <w:pStyle w:val="Compact"/>
              <w:jc w:val="center"/>
            </w:pPr>
            <w:r>
              <w:t xml:space="preserve">系数</w:t>
            </w:r>
          </w:p>
        </w:tc>
      </w:tr>
      <w:tr>
        <w:tc>
          <w:p>
            <w:pPr>
              <w:pStyle w:val="Compact"/>
              <w:jc w:val="left"/>
            </w:pPr>
            <w:r>
              <w:t xml:space="preserve">21号染色体GC含量</w:t>
            </w:r>
          </w:p>
        </w:tc>
        <w:tc>
          <w:p>
            <w:pPr>
              <w:pStyle w:val="Compact"/>
              <w:jc w:val="center"/>
            </w:pPr>
            <m:oMath>
              <m:r>
                <m:rPr>
                  <m:sty m:val="p"/>
                </m:rPr>
                <m:t>−</m:t>
              </m:r>
              <m:r>
                <m:t>2.151</m:t>
              </m:r>
            </m:oMath>
          </w:p>
        </w:tc>
        <w:tc>
          <w:p/>
        </w:tc>
        <w:tc>
          <w:p>
            <w:pPr>
              <w:pStyle w:val="Compact"/>
              <w:jc w:val="left"/>
            </w:pPr>
            <w:r>
              <w:t xml:space="preserve">18号染色体GC含量</w:t>
            </w:r>
          </w:p>
        </w:tc>
        <w:tc>
          <w:p>
            <w:pPr>
              <w:pStyle w:val="Compact"/>
              <w:jc w:val="center"/>
            </w:pPr>
            <m:oMath>
              <m:r>
                <m:rPr>
                  <m:sty m:val="p"/>
                </m:rPr>
                <m:t>+</m:t>
              </m:r>
              <m:r>
                <m:t>0.768</m:t>
              </m:r>
            </m:oMath>
          </w:p>
        </w:tc>
      </w:tr>
      <w:tr>
        <w:tc>
          <w:p>
            <w:pPr>
              <w:pStyle w:val="Compact"/>
              <w:jc w:val="left"/>
            </w:pPr>
            <w:r>
              <w:t xml:space="preserve">13号染色体GC含量</w:t>
            </w:r>
          </w:p>
        </w:tc>
        <w:tc>
          <w:p>
            <w:pPr>
              <w:pStyle w:val="Compact"/>
              <w:jc w:val="center"/>
            </w:pPr>
            <m:oMath>
              <m:r>
                <m:rPr>
                  <m:sty m:val="p"/>
                </m:rPr>
                <m:t>+</m:t>
              </m:r>
              <m:r>
                <m:t>1.687</m:t>
              </m:r>
            </m:oMath>
          </w:p>
        </w:tc>
        <w:tc>
          <w:p/>
        </w:tc>
        <w:tc>
          <w:p>
            <w:pPr>
              <w:pStyle w:val="Compact"/>
              <w:jc w:val="left"/>
            </w:pPr>
            <w:r>
              <w:t xml:space="preserve">年龄</w:t>
            </w:r>
          </w:p>
        </w:tc>
        <w:tc>
          <w:p>
            <w:pPr>
              <w:pStyle w:val="Compact"/>
              <w:jc w:val="center"/>
            </w:pPr>
            <m:oMath>
              <m:r>
                <m:rPr>
                  <m:sty m:val="p"/>
                </m:rPr>
                <m:t>−</m:t>
              </m:r>
              <m:r>
                <m:t>0.378</m:t>
              </m:r>
            </m:oMath>
          </w:p>
        </w:tc>
      </w:tr>
      <w:tr>
        <w:tc>
          <w:p>
            <w:pPr>
              <w:pStyle w:val="Compact"/>
              <w:jc w:val="left"/>
            </w:pPr>
            <w:r>
              <w:t xml:space="preserve">X染色体浓度</w:t>
            </w:r>
          </w:p>
        </w:tc>
        <w:tc>
          <w:p>
            <w:pPr>
              <w:pStyle w:val="Compact"/>
              <w:jc w:val="center"/>
            </w:pPr>
            <m:oMath>
              <m:r>
                <m:rPr>
                  <m:sty m:val="p"/>
                </m:rPr>
                <m:t>−</m:t>
              </m:r>
              <m:r>
                <m:t>0.930</m:t>
              </m:r>
            </m:oMath>
          </w:p>
        </w:tc>
        <w:tc>
          <w:p/>
        </w:tc>
        <w:tc>
          <w:p>
            <w:pPr>
              <w:pStyle w:val="Compact"/>
              <w:jc w:val="left"/>
            </w:pPr>
            <w:r>
              <w:t xml:space="preserve">被过滤读段比例</w:t>
            </w:r>
          </w:p>
        </w:tc>
        <w:tc>
          <w:p>
            <w:pPr>
              <w:pStyle w:val="Compact"/>
              <w:jc w:val="center"/>
            </w:pPr>
            <m:oMath>
              <m:r>
                <m:rPr>
                  <m:sty m:val="p"/>
                </m:rPr>
                <m:t>+</m:t>
              </m:r>
              <m:r>
                <m:t>0.303</m:t>
              </m:r>
            </m:oMath>
          </w:p>
        </w:tc>
      </w:tr>
    </w:tbl>
    <w:bookmarkEnd w:id="63"/>
    <w:bookmarkEnd w:id="64"/>
    <w:bookmarkStart w:id="65" w:name="三级判定规则示例规则含阈值来源"/>
    <w:p>
      <w:pPr>
        <w:pStyle w:val="Heading3"/>
      </w:pPr>
      <w:r>
        <w:t xml:space="preserve">三级判定规则（示例规则，含阈值来源）</w:t>
      </w:r>
    </w:p>
    <w:p>
      <w:pPr>
        <w:pStyle w:val="FirstParagraph"/>
      </w:pPr>
      <w:r>
        <w:t xml:space="preserve">在上述交叉验证结果上构造如下三级流程。该流程是</w:t>
      </w:r>
      <w:r>
        <w:rPr>
          <w:bCs/>
          <w:b/>
        </w:rPr>
        <w:t xml:space="preserve">基于当前交叉验证构造的示例规则</w:t>
      </w:r>
      <w:r>
        <w:t xml:space="preserve">，阈值未经独立队列确认，正式部署前应在训练层显式优化并以外部数据复核。</w:t>
      </w:r>
    </w:p>
    <w:p>
      <w:pPr>
        <w:numPr>
          <w:ilvl w:val="0"/>
          <w:numId w:val="1002"/>
        </w:numPr>
      </w:pPr>
      <w:r>
        <w:rPr>
          <w:bCs/>
          <w:b/>
        </w:rPr>
        <w:t xml:space="preserve">第一级（质控）：</w:t>
      </w:r>
      <w:r>
        <w:t xml:space="preserve">GC 含量超出</w:t>
      </w:r>
      <w:r>
        <w:t xml:space="preserve"> </w:t>
      </w:r>
      <m:oMath>
        <m:r>
          <m:rPr>
            <m:sty m:val="p"/>
          </m:rPr>
          <m:t>[</m:t>
        </m:r>
        <m:r>
          <m:t>35</m:t>
        </m:r>
        <m:r>
          <m:rPr>
            <m:sty m:val="p"/>
          </m:rPr>
          <m:t>%</m:t>
        </m:r>
        <m:r>
          <m:rPr>
            <m:sty m:val="p"/>
          </m:rPr>
          <m:t>,</m:t>
        </m:r>
        <m:r>
          <m:t>65</m:t>
        </m:r>
        <m:r>
          <m:rPr>
            <m:sty m:val="p"/>
          </m:rPr>
          <m:t>%</m:t>
        </m:r>
        <m:r>
          <m:rPr>
            <m:sty m:val="p"/>
          </m:rPr>
          <m:t>]</m:t>
        </m:r>
      </m:oMath>
      <w:r>
        <w:t xml:space="preserve">、比对比例或过滤比例异常者判为无效，建议重新采血；</w:t>
      </w:r>
    </w:p>
    <w:p>
      <w:pPr>
        <w:numPr>
          <w:ilvl w:val="0"/>
          <w:numId w:val="1002"/>
        </w:numPr>
      </w:pPr>
      <w:r>
        <w:rPr>
          <w:bCs/>
          <w:b/>
        </w:rPr>
        <w:t xml:space="preserve">第二级（Z 值提示）：</w:t>
      </w:r>
      <m:oMath>
        <m:r>
          <m:rPr>
            <m:sty m:val="p"/>
          </m:rPr>
          <m:t>|</m:t>
        </m:r>
        <m:sSub>
          <m:e>
            <m:r>
              <m:t>Z</m:t>
            </m:r>
          </m:e>
          <m:sub>
            <m:r>
              <m:t>13</m:t>
            </m:r>
          </m:sub>
        </m:sSub>
        <m:r>
          <m:rPr>
            <m:sty m:val="p"/>
          </m:rPr>
          <m:t>|</m:t>
        </m:r>
        <m:r>
          <m:rPr>
            <m:sty m:val="p"/>
          </m:rPr>
          <m:t>,</m:t>
        </m:r>
        <m:r>
          <m:rPr>
            <m:sty m:val="p"/>
          </m:rPr>
          <m:t>|</m:t>
        </m:r>
        <m:sSub>
          <m:e>
            <m:r>
              <m:t>Z</m:t>
            </m:r>
          </m:e>
          <m:sub>
            <m:r>
              <m:t>18</m:t>
            </m:r>
          </m:sub>
        </m:sSub>
        <m:r>
          <m:rPr>
            <m:sty m:val="p"/>
          </m:rPr>
          <m:t>|</m:t>
        </m:r>
        <m:r>
          <m:rPr>
            <m:sty m:val="p"/>
          </m:rPr>
          <m:t>,</m:t>
        </m:r>
        <m:r>
          <m:rPr>
            <m:sty m:val="p"/>
          </m:rPr>
          <m:t>|</m:t>
        </m:r>
        <m:sSub>
          <m:e>
            <m:r>
              <m:t>Z</m:t>
            </m:r>
          </m:e>
          <m:sub>
            <m:r>
              <m:t>21</m:t>
            </m:r>
          </m:sub>
        </m:sSub>
        <m:r>
          <m:rPr>
            <m:sty m:val="p"/>
          </m:rPr>
          <m:t>|</m:t>
        </m:r>
      </m:oMath>
      <w:r>
        <w:t xml:space="preserve"> </w:t>
      </w:r>
      <w:r>
        <w:t xml:space="preserve">任一</w:t>
      </w:r>
      <w:r>
        <w:t xml:space="preserve"> </w:t>
      </w:r>
      <m:oMath>
        <m:r>
          <m:rPr>
            <m:sty m:val="p"/>
          </m:rPr>
          <m:t>≥</m:t>
        </m:r>
        <m:r>
          <m:t>3</m:t>
        </m:r>
      </m:oMath>
      <w:r>
        <w:t xml:space="preserve"> </w:t>
      </w:r>
      <w:r>
        <w:t xml:space="preserve">标记为高危提示并进入第三级复核（该规则本数据召回率仅 5.97%，不作最终判定门）；</w:t>
      </w:r>
    </w:p>
    <w:p>
      <w:pPr>
        <w:numPr>
          <w:ilvl w:val="0"/>
          <w:numId w:val="1002"/>
        </w:numPr>
      </w:pPr>
      <w:r>
        <w:rPr>
          <w:bCs/>
          <w:b/>
        </w:rPr>
        <w:t xml:space="preserve">第三级（模型判定）：</w:t>
      </w:r>
      <w:r>
        <w:t xml:space="preserve">高危线</w:t>
      </w:r>
      <w:r>
        <w:t xml:space="preserve"> </w:t>
      </w:r>
      <m:oMath>
        <m:sSup>
          <m:e>
            <m:r>
              <m:t>τ</m:t>
            </m:r>
          </m:e>
          <m:sup>
            <m:r>
              <m:rPr>
                <m:sty m:val="p"/>
              </m:rPr>
              <m:t>*</m:t>
            </m:r>
          </m:sup>
        </m:sSup>
        <m:r>
          <m:rPr>
            <m:sty m:val="p"/>
          </m:rPr>
          <m:t>=</m:t>
        </m:r>
        <m:r>
          <m:t>0.491</m:t>
        </m:r>
      </m:oMath>
      <w:r>
        <w:t xml:space="preserve"> </w:t>
      </w:r>
      <w:r>
        <w:t xml:space="preserve">取各外层折内层所选阈值的</w:t>
      </w:r>
      <w:r>
        <w:rPr>
          <w:bCs/>
          <w:b/>
        </w:rPr>
        <w:t xml:space="preserve">中位数</w:t>
      </w:r>
      <w:r>
        <w:t xml:space="preserve">（OOF 敏感度 68.7%、特异度 77.3%）；复查线 0.30 取冻结 OOF 上敏感度约 85% 的操作点（特异度约 54%、NPV 约 96.7%）。即</w:t>
      </w:r>
      <w:r>
        <w:t xml:space="preserve"> </w:t>
      </w:r>
      <m:oMath>
        <m:r>
          <m:t>p</m:t>
        </m:r>
        <m:r>
          <m:rPr>
            <m:sty m:val="p"/>
          </m:rPr>
          <m:t>≥</m:t>
        </m:r>
        <m:r>
          <m:t>0.491</m:t>
        </m:r>
      </m:oMath>
      <w:r>
        <w:t xml:space="preserve"> </w:t>
      </w:r>
      <w:r>
        <w:t xml:space="preserve">判异常高危、建议产前诊断；</w:t>
      </w:r>
      <m:oMath>
        <m:r>
          <m:t>0.30</m:t>
        </m:r>
        <m:r>
          <m:rPr>
            <m:sty m:val="p"/>
          </m:rPr>
          <m:t>≤</m:t>
        </m:r>
        <m:r>
          <m:t>p</m:t>
        </m:r>
        <m:r>
          <m:rPr>
            <m:sty m:val="p"/>
          </m:rPr>
          <m:t>&lt;</m:t>
        </m:r>
        <m:r>
          <m:t>0.491</m:t>
        </m:r>
      </m:oMath>
      <w:r>
        <w:t xml:space="preserve"> </w:t>
      </w:r>
      <w:r>
        <w:t xml:space="preserve">判需复查；</w:t>
      </w:r>
      <m:oMath>
        <m:r>
          <m:t>p</m:t>
        </m:r>
        <m:r>
          <m:rPr>
            <m:sty m:val="p"/>
          </m:rPr>
          <m:t>&lt;</m:t>
        </m:r>
        <m:r>
          <m:t>0.30</m:t>
        </m:r>
      </m:oMath>
      <w:r>
        <w:t xml:space="preserve"> </w:t>
      </w:r>
      <w:r>
        <w:t xml:space="preserve">判低危、常规随访。</w:t>
      </w:r>
    </w:p>
    <w:p>
      <w:pPr>
        <w:pStyle w:val="FirstParagraph"/>
      </w:pPr>
      <w:r>
        <w:t xml:space="preserve">口径说明：</w:t>
      </w:r>
      <m:oMath>
        <m:sSup>
          <m:e>
            <m:r>
              <m:t>τ</m:t>
            </m:r>
          </m:e>
          <m:sup>
            <m:r>
              <m:rPr>
                <m:sty m:val="p"/>
              </m:rPr>
              <m:t>*</m:t>
            </m:r>
          </m:sup>
        </m:sSup>
        <m:r>
          <m:rPr>
            <m:sty m:val="p"/>
          </m:rPr>
          <m:t>=</m:t>
        </m:r>
        <m:r>
          <m:t>0.491</m:t>
        </m:r>
      </m:oMath>
      <w:r>
        <w:t xml:space="preserve"> </w:t>
      </w:r>
      <w:r>
        <w:t xml:space="preserve">是交叉验证的汇总统计量，</w:t>
      </w:r>
      <w:r>
        <w:rPr>
          <w:bCs/>
          <w:b/>
        </w:rPr>
        <w:t xml:space="preserve">不等于</w:t>
      </w:r>
      <w:r>
        <w:t xml:space="preserve">全数据重优化并经独立验证的部署阈值；0.30 是按</w:t>
      </w:r>
      <w:r>
        <w:t xml:space="preserve">“</w:t>
      </w:r>
      <w:r>
        <w:t xml:space="preserve">敏感度优先</w:t>
      </w:r>
      <w:r>
        <w:t xml:space="preserve">”</w:t>
      </w:r>
      <w:r>
        <w:t xml:space="preserve">选取的操作点而非拟合产物。若更重特异度可将复查线上移（0.35 对应敏感度 80.6%、特异度 59.4%），本文不宣称唯一选择。</w:t>
      </w:r>
    </w:p>
    <w:bookmarkEnd w:id="65"/>
    <w:bookmarkEnd w:id="66"/>
    <w:bookmarkStart w:id="73" w:name="结果解释与时点决策"/>
    <w:p>
      <w:pPr>
        <w:pStyle w:val="Heading2"/>
      </w:pPr>
      <w:r>
        <w:t xml:space="preserve">结果解释与时点决策</w:t>
      </w:r>
    </w:p>
    <w:p>
      <w:pPr>
        <w:pStyle w:val="FirstParagraph"/>
      </w:pPr>
      <w:r>
        <w:t xml:space="preserve">问题一中，随机效应引入的主体内相关性表明，常规逐行回归会错误放大有效样本量。图</w:t>
      </w:r>
      <w:hyperlink w:anchor="fig:q1comp">
        <w:r>
          <w:rPr>
            <w:rStyle w:val="Hyperlink"/>
          </w:rPr>
          <w:t xml:space="preserve">10</w:t>
        </w:r>
      </w:hyperlink>
      <w:r>
        <w:t xml:space="preserve">比较线性混合模型和样条对照的外层表现：两者均未得到正的主体留出</w:t>
      </w:r>
      <m:oMath>
        <m:sSup>
          <m:e>
            <m:r>
              <m:t>R</m:t>
            </m:r>
          </m:e>
          <m:sup>
            <m:r>
              <m:t>2</m:t>
            </m:r>
          </m:sup>
        </m:sSup>
      </m:oMath>
      <w:r>
        <w:t xml:space="preserve">，因此选择线性混合模型作为关联解释的主模型，而不以复杂曲线追求表面拟合度。</w:t>
      </w:r>
    </w:p>
    <w:p>
      <w:pPr>
        <w:pStyle w:val="CaptionedFigure"/>
      </w:pPr>
      <w:bookmarkStart w:id="68" w:name="fig:q1comp"/>
      <w:r>
        <w:drawing>
          <wp:inline>
            <wp:extent cx="5334000" cy="3217333"/>
            <wp:effectExtent b="0" l="0" r="0" t="0"/>
            <wp:docPr descr="问题一模型在主体留出验证中的比较" title="" id="1" name="Picture"/>
            <a:graphic>
              <a:graphicData uri="http://schemas.openxmlformats.org/drawingml/2006/picture">
                <pic:pic>
                  <pic:nvPicPr>
                    <pic:cNvPr descr="figures/result_q1_comparison.png" id="0" name="Picture"/>
                    <pic:cNvPicPr>
                      <a:picLocks noChangeArrowheads="1" noChangeAspect="1"/>
                    </pic:cNvPicPr>
                  </pic:nvPicPr>
                  <pic:blipFill>
                    <a:blip r:embed="rId67"/>
                    <a:stretch>
                      <a:fillRect/>
                    </a:stretch>
                  </pic:blipFill>
                  <pic:spPr bwMode="auto">
                    <a:xfrm>
                      <a:off x="0" y="0"/>
                      <a:ext cx="5334000" cy="3217333"/>
                    </a:xfrm>
                    <a:prstGeom prst="rect">
                      <a:avLst/>
                    </a:prstGeom>
                    <a:noFill/>
                    <a:ln w="9525">
                      <a:noFill/>
                      <a:headEnd/>
                      <a:tailEnd/>
                    </a:ln>
                  </pic:spPr>
                </pic:pic>
              </a:graphicData>
            </a:graphic>
          </wp:inline>
        </w:drawing>
      </w:r>
      <w:bookmarkEnd w:id="68"/>
    </w:p>
    <w:p>
      <w:pPr>
        <w:pStyle w:val="ImageCaption"/>
      </w:pPr>
      <w:r>
        <w:t xml:space="preserve">问题一模型在主体留出验证中的比较</w:t>
      </w:r>
    </w:p>
    <w:p>
      <w:pPr>
        <w:pStyle w:val="BodyText"/>
      </w:pPr>
      <w:r>
        <w:t xml:space="preserve">问题二的三组时点来自达标概率、风险权重和支持约束的共同作用，而非BMI本身的临床分类边界。图</w:t>
      </w:r>
      <w:hyperlink w:anchor="fig:q2cal">
        <w:r>
          <w:rPr>
            <w:rStyle w:val="Hyperlink"/>
          </w:rPr>
          <w:t xml:space="preserve">11</w:t>
        </w:r>
      </w:hyperlink>
      <w:r>
        <w:t xml:space="preserve">显示主体留出概率校准情况；早孕及高BMI区域的支持较少，故策略不会在缺乏观测支持的区域作无约束外推。对不同风险权重，L情景更重视等待、但会在部分组产生25周边界解；H情景更重视延迟、因而倾向于11周边界。M情景位于两者之间，故用于主答案。</w:t>
      </w:r>
    </w:p>
    <w:p>
      <w:pPr>
        <w:pStyle w:val="CaptionedFigure"/>
      </w:pPr>
      <w:bookmarkStart w:id="70" w:name="fig:q2cal"/>
      <w:r>
        <w:drawing>
          <wp:inline>
            <wp:extent cx="5334000" cy="2592916"/>
            <wp:effectExtent b="0" l="0" r="0" t="0"/>
            <wp:docPr descr="问题二边际达标概率的主体留出校准" title="" id="1" name="Picture"/>
            <a:graphic>
              <a:graphicData uri="http://schemas.openxmlformats.org/drawingml/2006/picture">
                <pic:pic>
                  <pic:nvPicPr>
                    <pic:cNvPr descr="figures/process_q2_calibration.png" id="0" name="Picture"/>
                    <pic:cNvPicPr>
                      <a:picLocks noChangeArrowheads="1" noChangeAspect="1"/>
                    </pic:cNvPicPr>
                  </pic:nvPicPr>
                  <pic:blipFill>
                    <a:blip r:embed="rId69"/>
                    <a:stretch>
                      <a:fillRect/>
                    </a:stretch>
                  </pic:blipFill>
                  <pic:spPr bwMode="auto">
                    <a:xfrm>
                      <a:off x="0" y="0"/>
                      <a:ext cx="5334000" cy="2592916"/>
                    </a:xfrm>
                    <a:prstGeom prst="rect">
                      <a:avLst/>
                    </a:prstGeom>
                    <a:noFill/>
                    <a:ln w="9525">
                      <a:noFill/>
                      <a:headEnd/>
                      <a:tailEnd/>
                    </a:ln>
                  </pic:spPr>
                </pic:pic>
              </a:graphicData>
            </a:graphic>
          </wp:inline>
        </w:drawing>
      </w:r>
      <w:bookmarkEnd w:id="70"/>
    </w:p>
    <w:p>
      <w:pPr>
        <w:pStyle w:val="ImageCaption"/>
      </w:pPr>
      <w:r>
        <w:t xml:space="preserve">问题二边际达标概率的主体留出校准</w:t>
      </w:r>
    </w:p>
    <w:p>
      <w:pPr>
        <w:pStyle w:val="BodyText"/>
      </w:pPr>
      <w:r>
        <w:t xml:space="preserve">问题三的扩展模型将个人年龄、身高代入概率后仍只按BMI排序分组，并在组内对实际协变量分布的风险求和；这避免把所有人固定为平均年龄和身高。图</w:t>
      </w:r>
      <w:hyperlink w:anchor="fig:q3policy">
        <w:r>
          <w:rPr>
            <w:rStyle w:val="Hyperlink"/>
          </w:rPr>
          <w:t xml:space="preserve">12</w:t>
        </w:r>
      </w:hyperlink>
      <w:r>
        <w:t xml:space="preserve">展示M情景下的扩展条件解以及L/M/H场景下的变化。由于表</w:t>
      </w:r>
      <w:hyperlink w:anchor="tab:q3compare">
        <w:r>
          <w:rPr>
            <w:rStyle w:val="Hyperlink"/>
          </w:rPr>
          <w:t xml:space="preserve">6</w:t>
        </w:r>
      </w:hyperlink>
      <w:r>
        <w:t xml:space="preserve">的配对区间跨过零，正文不把它解释成对Q2的优越替代。</w:t>
      </w:r>
    </w:p>
    <w:p>
      <w:pPr>
        <w:pStyle w:val="CaptionedFigure"/>
      </w:pPr>
      <w:bookmarkStart w:id="72" w:name="fig:q3policy"/>
      <w:r>
        <w:drawing>
          <wp:inline>
            <wp:extent cx="5334000" cy="3022600"/>
            <wp:effectExtent b="0" l="0" r="0" t="0"/>
            <wp:docPr descr="问题三多因素扩展下的BMI条件时点" title="" id="1" name="Picture"/>
            <a:graphic>
              <a:graphicData uri="http://schemas.openxmlformats.org/drawingml/2006/picture">
                <pic:pic>
                  <pic:nvPicPr>
                    <pic:cNvPr descr="figures/result_q3_conditional_policy.png" id="0" name="Picture"/>
                    <pic:cNvPicPr>
                      <a:picLocks noChangeArrowheads="1" noChangeAspect="1"/>
                    </pic:cNvPicPr>
                  </pic:nvPicPr>
                  <pic:blipFill>
                    <a:blip r:embed="rId71"/>
                    <a:stretch>
                      <a:fillRect/>
                    </a:stretch>
                  </pic:blipFill>
                  <pic:spPr bwMode="auto">
                    <a:xfrm>
                      <a:off x="0" y="0"/>
                      <a:ext cx="5334000" cy="3022600"/>
                    </a:xfrm>
                    <a:prstGeom prst="rect">
                      <a:avLst/>
                    </a:prstGeom>
                    <a:noFill/>
                    <a:ln w="9525">
                      <a:noFill/>
                      <a:headEnd/>
                      <a:tailEnd/>
                    </a:ln>
                  </pic:spPr>
                </pic:pic>
              </a:graphicData>
            </a:graphic>
          </wp:inline>
        </w:drawing>
      </w:r>
      <w:bookmarkEnd w:id="72"/>
    </w:p>
    <w:p>
      <w:pPr>
        <w:pStyle w:val="ImageCaption"/>
      </w:pPr>
      <w:r>
        <w:t xml:space="preserve">问题三多因素扩展下的BMI条件时点</w:t>
      </w:r>
    </w:p>
    <w:bookmarkEnd w:id="73"/>
    <w:bookmarkStart w:id="74" w:name="问题四的判定口径"/>
    <w:p>
      <w:pPr>
        <w:pStyle w:val="Heading2"/>
      </w:pPr>
      <w:r>
        <w:t xml:space="preserve">问题四的判定口径</w:t>
      </w:r>
    </w:p>
    <w:p>
      <w:pPr>
        <w:pStyle w:val="FirstParagraph"/>
      </w:pPr>
      <w:r>
        <w:t xml:space="preserve">为把问题四的结果从"一组指标"落成"可执行的判定流程"，还需要把概率分数映射到行动，并交代这一映射的证据边界。这里面临两类口径：一是统计口径（用什么概率、按什么验证得到），二是决策口径（概率多高算高危、多高算需复查），二者必须分开说明，否则会误把交叉验证的汇总阈值当成经过独立验证的部署参数。问题四以</w:t>
      </w:r>
      <w:r>
        <w:t xml:space="preserve">“</w:t>
      </w:r>
      <w:r>
        <w:t xml:space="preserve">任一异常标记</w:t>
      </w:r>
      <w:r>
        <w:t xml:space="preserve">”</w:t>
      </w:r>
      <w:r>
        <w:t xml:space="preserve">（A_any）为主线给出可执行判定，同时明确其口径边界。Brier 分数定义为</w:t>
      </w:r>
    </w:p>
    <w:p>
      <w:pPr>
        <w:pStyle w:val="BodyText"/>
      </w:pPr>
      <m:oMathPara>
        <m:oMathParaPr>
          <m:jc m:val="center"/>
        </m:oMathParaPr>
        <m:oMath>
          <m:r>
            <m:rPr>
              <m:nor/>
              <m:sty m:val="p"/>
            </m:rPr>
            <m:t>Brier</m:t>
          </m:r>
          <m:r>
            <m:rPr>
              <m:sty m:val="p"/>
            </m:rPr>
            <m:t>=</m:t>
          </m:r>
          <m:f>
            <m:fPr>
              <m:type m:val="bar"/>
            </m:fPr>
            <m:num>
              <m:r>
                <m:t>1</m:t>
              </m:r>
            </m:num>
            <m:den>
              <m:r>
                <m:t>N</m:t>
              </m:r>
            </m:den>
          </m:f>
          <m:nary>
            <m:naryPr>
              <m:chr m:val="∑"/>
              <m:limLoc m:val="undOvr"/>
              <m:subHide m:val="0"/>
              <m:supHide m:val="0"/>
            </m:naryPr>
            <m:sub>
              <m:r>
                <m:t>i</m:t>
              </m:r>
              <m:r>
                <m:rPr>
                  <m:sty m:val="p"/>
                </m:rPr>
                <m:t>=</m:t>
              </m:r>
              <m:r>
                <m:t>1</m:t>
              </m:r>
            </m:sub>
            <m:sup>
              <m:r>
                <m:t>N</m:t>
              </m:r>
            </m:sup>
            <m:e>
              <m:r>
                <m:rPr>
                  <m:sty m:val="p"/>
                </m:rPr>
                <m:t>(</m:t>
              </m:r>
            </m:e>
          </m:nary>
          <m:sSub>
            <m:e>
              <m:r>
                <m:t>q</m:t>
              </m:r>
            </m:e>
            <m:sub>
              <m:r>
                <m:t>i</m:t>
              </m:r>
            </m:sub>
          </m:sSub>
          <m:r>
            <m:rPr>
              <m:sty m:val="p"/>
            </m:rPr>
            <m:t>−</m:t>
          </m:r>
          <m:sSub>
            <m:e>
              <m:r>
                <m:t>A</m:t>
              </m:r>
            </m:e>
            <m:sub>
              <m:r>
                <m:t>i</m:t>
              </m:r>
            </m:sub>
          </m:sSub>
          <m:sSup>
            <m:e>
              <m:r>
                <m:rPr>
                  <m:sty m:val="p"/>
                </m:rPr>
                <m:t>)</m:t>
              </m:r>
            </m:e>
            <m:sup>
              <m:r>
                <m:t>2</m:t>
              </m:r>
            </m:sup>
          </m:sSup>
          <m:r>
            <m:rPr>
              <m:sty m:val="p"/>
            </m:rPr>
            <m:t>.</m:t>
          </m:r>
        </m:oMath>
      </m:oMathPara>
    </w:p>
    <w:p>
      <w:pPr>
        <w:pStyle w:val="FirstParagraph"/>
      </w:pPr>
      <w:r>
        <w:t xml:space="preserve">外层指标（AUC、PR-AUC、Brier 及 Bootstrap 区间）与嵌套阈值已在问题四节给出；此处强调两点：其一，</w:t>
      </w:r>
      <m:oMath>
        <m:sSup>
          <m:e>
            <m:r>
              <m:t>τ</m:t>
            </m:r>
          </m:e>
          <m:sup>
            <m:r>
              <m:rPr>
                <m:sty m:val="p"/>
              </m:rPr>
              <m:t>*</m:t>
            </m:r>
          </m:sup>
        </m:sSup>
        <m:r>
          <m:rPr>
            <m:sty m:val="p"/>
          </m:rPr>
          <m:t>=</m:t>
        </m:r>
        <m:r>
          <m:t>0.491</m:t>
        </m:r>
      </m:oMath>
      <w:r>
        <w:t xml:space="preserve"> </w:t>
      </w:r>
      <w:r>
        <w:t xml:space="preserve">为各折阈值的汇总中位数，属交叉验证口径，</w:t>
      </w:r>
      <w:r>
        <w:rPr>
          <w:bCs/>
          <w:b/>
        </w:rPr>
        <w:t xml:space="preserve">不等于</w:t>
      </w:r>
      <w:r>
        <w:t xml:space="preserve">在全数据上重新拟合并独立验证的部署阈值；其二，复查线 0.30（或按特异度偏好取 0.35）是按</w:t>
      </w:r>
      <w:r>
        <w:t xml:space="preserve">“</w:t>
      </w:r>
      <w:r>
        <w:t xml:space="preserve">敏感度优先</w:t>
      </w:r>
      <w:r>
        <w:t xml:space="preserve">”</w:t>
      </w:r>
      <w:r>
        <w:t xml:space="preserve">选择的操作点，不是模型拟合所得。真实临床使用前，需在独立队列上重新估计阈值，并把漏诊代价写入目标函数。</w:t>
      </w:r>
    </w:p>
    <w:p>
      <w:pPr>
        <w:pStyle w:val="BodyText"/>
      </w:pPr>
      <w:r>
        <w:t xml:space="preserve">为什么采用"阈值汇总"而不是"重拟合一次定阈值"？原因在于样本量：女胎阳性孕妇仅44名，若先看全数据再选阈值，再把同一批数据报告为阈值性能，会明显高估。嵌套交叉验证让每一折的内层只在训练主体上选择阈值、外层评估该阈值对未见主体的表现，最后把各折内层所选阈值的中位数作为汇总统计量报告。这种做法的代价是阈值本身带有验证方差，因此正文在三级规则中同时报告了0.30与0.35两条候选线及各自权衡，并把"正式部署前必须用独立队列重新估计"写为使用前提，而不是宣称存在唯一正确的全局阈值。</w:t>
      </w:r>
    </w:p>
    <w:bookmarkEnd w:id="74"/>
    <w:bookmarkEnd w:id="75"/>
    <w:bookmarkStart w:id="79" w:name="模型检验与分析"/>
    <w:p>
      <w:pPr>
        <w:pStyle w:val="Heading1"/>
      </w:pPr>
      <w:r>
        <w:t xml:space="preserve">模型检验与分析</w:t>
      </w:r>
    </w:p>
    <w:p>
      <w:pPr>
        <w:pStyle w:val="FirstParagraph"/>
      </w:pPr>
      <w:r>
        <w:t xml:space="preserve">检验不是事后的"加分动作"，而是本文每个结论成立范围的组成部分。本节把四问的验证设计归为三类可复核的检验：主体隔离验证回答"模型对没见过的人是否仍然有效"；阈值、风险与测量敏感性回答"结论在口径变化下是否稳健"；数字的可追溯性由固定种子、输入哈希与复现清单保证，使每一处报告的数字都能沿"数据—代码—输出—论文"链条回查。</w:t>
      </w:r>
    </w:p>
    <w:bookmarkStart w:id="76" w:name="主体隔离验证"/>
    <w:p>
      <w:pPr>
        <w:pStyle w:val="Heading2"/>
      </w:pPr>
      <w:r>
        <w:t xml:space="preserve">主体隔离验证</w:t>
      </w:r>
    </w:p>
    <w:p>
      <w:pPr>
        <w:pStyle w:val="FirstParagraph"/>
      </w:pPr>
      <w:r>
        <w:t xml:space="preserve">问题一的负外层</w:t>
      </w:r>
      <m:oMath>
        <m:sSup>
          <m:e>
            <m:r>
              <m:t>R</m:t>
            </m:r>
          </m:e>
          <m:sup>
            <m:r>
              <m:t>2</m:t>
            </m:r>
          </m:sup>
        </m:sSup>
      </m:oMath>
      <w:r>
        <w:t xml:space="preserve">说明关联与预测应分开表述。问题二检验概率校准，问题三以同折损失差值比较，问题四使用按孕妇分组的嵌套主体隔离阈值选择。由此避免了同一孕妇的相似记录同时出现于训练集和测试集造成的性能高估。</w:t>
      </w:r>
    </w:p>
    <w:p>
      <w:pPr>
        <w:pStyle w:val="BodyText"/>
      </w:pPr>
      <w:r>
        <w:t xml:space="preserve">主体隔离验证的共性在于"划分边界与使用边界一致"。本文所有五折划分都只依据孕妇编号，且划分在建模前一次固定：训练折内的记录只用于估计与调参，测试折内的记录只有在模型定型后才出现一次，用于计算折外指标。任何需要数据驱动的决定——样条自由度、正则化强度、判定阈值——都被限制在训练折内完成，以避免"用测试信息反选模型"造成的乐观偏差。需要说明的是，主体隔离解决的是重复测量造成的样本重叠问题，并不消除另两类不确定性：模型规格选择的不确定性与测量误差带来的扰动，这两类分别由问题三的配对区间和测量敏感性检验刻画，不能只靠一次主体划分就宣称结论稳健。</w:t>
      </w:r>
    </w:p>
    <w:bookmarkEnd w:id="76"/>
    <w:bookmarkStart w:id="78" w:name="阈值风险与测量敏感性"/>
    <w:p>
      <w:pPr>
        <w:pStyle w:val="Heading2"/>
      </w:pPr>
      <w:r>
        <w:t xml:space="preserve">阈值、风险与测量敏感性</w:t>
      </w:r>
    </w:p>
    <w:p>
      <w:pPr>
        <w:pStyle w:val="FirstParagraph"/>
      </w:pPr>
      <w:r>
        <w:t xml:space="preserve">同次抽血重复测序组给出logit浓度波动尺度</w:t>
      </w:r>
      <m:oMath>
        <m:sSub>
          <m:e>
            <m:acc>
              <m:accPr>
                <m:chr m:val="̂"/>
              </m:accPr>
              <m:e>
                <m:r>
                  <m:t>σ</m:t>
                </m:r>
              </m:e>
            </m:acc>
          </m:e>
          <m:sub>
            <m:r>
              <m:t>m</m:t>
            </m:r>
          </m:sub>
        </m:sSub>
        <m:r>
          <m:rPr>
            <m:sty m:val="p"/>
          </m:rPr>
          <m:t>=</m:t>
        </m:r>
        <m:r>
          <m:t>0.123745</m:t>
        </m:r>
      </m:oMath>
      <w:r>
        <w:t xml:space="preserve">。按孕妇2000次重采样的区间约为</w:t>
      </w:r>
      <m:oMath>
        <m:r>
          <m:rPr>
            <m:sty m:val="p"/>
          </m:rPr>
          <m:t>[</m:t>
        </m:r>
        <m:r>
          <m:t>0.08175</m:t>
        </m:r>
        <m:r>
          <m:rPr>
            <m:sty m:val="p"/>
          </m:rPr>
          <m:t>,</m:t>
        </m:r>
        <m:r>
          <m:t>0.16770</m:t>
        </m:r>
        <m:r>
          <m:rPr>
            <m:sty m:val="p"/>
          </m:rPr>
          <m:t>]</m:t>
        </m:r>
      </m:oMath>
      <w:r>
        <w:t xml:space="preserve">。在20轮主体重采样及四档追加噪声下重新拟合和优化，策略随样本构成而变化，故BMI切点只代表本附件、当前代价下的条件分割。表</w:t>
      </w:r>
      <w:hyperlink w:anchor="tab:threshold">
        <w:r>
          <w:rPr>
            <w:rStyle w:val="Hyperlink"/>
          </w:rPr>
          <w:t xml:space="preserve">10</w:t>
        </w:r>
      </w:hyperlink>
      <w:r>
        <w:t xml:space="preserve">显示Q2在低延迟L情景下对阈值本身的敏感性，进一步说明分组结论必须绑定阈值与风险权重。</w:t>
      </w:r>
    </w:p>
    <w:bookmarkStart w:id="77" w:name="tab:threshold"/>
    <w:p>
      <w:pPr>
        <w:pStyle w:val="TableCaption"/>
      </w:pPr>
      <w:r>
        <w:t xml:space="preserve">Q2低延迟L情景的阈值敏感性</w:t>
      </w:r>
    </w:p>
    <w:tbl>
      <w:tblPr>
        <w:tblStyle w:val="Table"/>
        <w:tblW w:type="pct" w:w="0.0"/>
        <w:tblLook w:firstRow="1" w:lastRow="0" w:firstColumn="0" w:lastColumn="0" w:noHBand="0" w:noVBand="0" w:val="0020"/>
        <w:tblCaption w:val="Q2低延迟L情景的阈值敏感性"/>
      </w:tblPr>
      <w:tblGrid/>
      <w:tr>
        <w:tc>
          <w:p>
            <w:pPr>
              <w:pStyle w:val="Compact"/>
              <w:jc w:val="center"/>
            </w:pPr>
            <w:r>
              <w:t xml:space="preserve">浓度阈值</w:t>
            </w:r>
          </w:p>
        </w:tc>
        <w:tc>
          <w:p>
            <w:pPr>
              <w:pStyle w:val="Compact"/>
              <w:jc w:val="center"/>
            </w:pPr>
            <w:r>
              <w:t xml:space="preserve">有效组数</w:t>
            </w:r>
          </w:p>
        </w:tc>
        <w:tc>
          <w:p>
            <w:pPr>
              <w:pStyle w:val="Compact"/>
              <w:jc w:val="center"/>
            </w:pPr>
            <w:r>
              <w:t xml:space="preserve">内部BMI切点</w:t>
            </w:r>
          </w:p>
        </w:tc>
        <w:tc>
          <w:p>
            <w:pPr>
              <w:pStyle w:val="Compact"/>
              <w:jc w:val="center"/>
            </w:pPr>
            <w:r>
              <w:t xml:space="preserve">检测时点</w:t>
            </w:r>
          </w:p>
        </w:tc>
        <w:tc>
          <w:p>
            <w:pPr>
              <w:pStyle w:val="Compact"/>
              <w:jc w:val="center"/>
            </w:pPr>
            <w:r>
              <w:t xml:space="preserve">对应人数</w:t>
            </w:r>
          </w:p>
        </w:tc>
      </w:tr>
      <w:tr>
        <w:tc>
          <w:p>
            <w:pPr>
              <w:pStyle w:val="Compact"/>
              <w:jc w:val="center"/>
            </w:pPr>
            <w:r>
              <w:t xml:space="preserve">3.5%</w:t>
            </w:r>
          </w:p>
        </w:tc>
        <w:tc>
          <w:p>
            <w:pPr>
              <w:pStyle w:val="Compact"/>
              <w:jc w:val="center"/>
            </w:pPr>
            <w:r>
              <w:t xml:space="preserve">1</w:t>
            </w:r>
          </w:p>
        </w:tc>
        <w:tc>
          <w:p>
            <w:pPr>
              <w:pStyle w:val="Compact"/>
              <w:jc w:val="center"/>
            </w:pPr>
            <w:r>
              <w:t xml:space="preserve">无</w:t>
            </w:r>
          </w:p>
        </w:tc>
        <w:tc>
          <w:p>
            <w:pPr>
              <w:pStyle w:val="Compact"/>
              <w:jc w:val="center"/>
            </w:pPr>
            <w:r>
              <w:t xml:space="preserve">12周6天</w:t>
            </w:r>
          </w:p>
        </w:tc>
        <w:tc>
          <w:p>
            <w:pPr>
              <w:pStyle w:val="Compact"/>
              <w:jc w:val="center"/>
            </w:pPr>
            <w:r>
              <w:t xml:space="preserve">267</w:t>
            </w:r>
          </w:p>
        </w:tc>
      </w:tr>
      <w:tr>
        <w:tc>
          <w:p>
            <w:pPr>
              <w:pStyle w:val="Compact"/>
              <w:jc w:val="center"/>
            </w:pPr>
            <w:r>
              <w:t xml:space="preserve">4.0%</w:t>
            </w:r>
          </w:p>
        </w:tc>
        <w:tc>
          <w:p>
            <w:pPr>
              <w:pStyle w:val="Compact"/>
              <w:jc w:val="center"/>
            </w:pPr>
            <w:r>
              <w:t xml:space="preserve">2</w:t>
            </w:r>
          </w:p>
        </w:tc>
        <w:tc>
          <w:p>
            <w:pPr>
              <w:pStyle w:val="Compact"/>
              <w:jc w:val="center"/>
            </w:pPr>
            <w:r>
              <w:t xml:space="preserve">33.8</w:t>
            </w:r>
          </w:p>
        </w:tc>
        <w:tc>
          <w:p>
            <w:pPr>
              <w:pStyle w:val="Compact"/>
              <w:jc w:val="center"/>
            </w:pPr>
            <w:r>
              <w:t xml:space="preserve">12周6天；25周</w:t>
            </w:r>
          </w:p>
        </w:tc>
        <w:tc>
          <w:p>
            <w:pPr>
              <w:pStyle w:val="Compact"/>
              <w:jc w:val="center"/>
            </w:pPr>
            <w:r>
              <w:t xml:space="preserve">212；55</w:t>
            </w:r>
          </w:p>
        </w:tc>
      </w:tr>
      <w:tr>
        <w:tc>
          <w:p>
            <w:pPr>
              <w:pStyle w:val="Compact"/>
              <w:jc w:val="center"/>
            </w:pPr>
            <w:r>
              <w:t xml:space="preserve">4.5%</w:t>
            </w:r>
          </w:p>
        </w:tc>
        <w:tc>
          <w:p>
            <w:pPr>
              <w:pStyle w:val="Compact"/>
              <w:jc w:val="center"/>
            </w:pPr>
            <w:r>
              <w:t xml:space="preserve">2</w:t>
            </w:r>
          </w:p>
        </w:tc>
        <w:tc>
          <w:p>
            <w:pPr>
              <w:pStyle w:val="Compact"/>
              <w:jc w:val="center"/>
            </w:pPr>
            <w:r>
              <w:t xml:space="preserve">29.1</w:t>
            </w:r>
          </w:p>
        </w:tc>
        <w:tc>
          <w:p>
            <w:pPr>
              <w:pStyle w:val="Compact"/>
              <w:jc w:val="center"/>
            </w:pPr>
            <w:r>
              <w:t xml:space="preserve">12周6天；25周</w:t>
            </w:r>
          </w:p>
        </w:tc>
        <w:tc>
          <w:p>
            <w:pPr>
              <w:pStyle w:val="Compact"/>
              <w:jc w:val="center"/>
            </w:pPr>
            <w:r>
              <w:t xml:space="preserve">38；229</w:t>
            </w:r>
          </w:p>
        </w:tc>
      </w:tr>
    </w:tbl>
    <w:bookmarkEnd w:id="77"/>
    <w:p>
      <w:pPr>
        <w:pStyle w:val="BodyText"/>
      </w:pPr>
      <w:r>
        <w:t xml:space="preserve">问题四阈值的稳定性由嵌套设计与 Bootstrap 描述：ROC-AUC 95%CI [0.756, 0.859]、Brier 95%CI [0.145, 0.176]（表</w:t>
      </w:r>
      <w:hyperlink w:anchor="tab:q4main">
        <w:r>
          <w:rPr>
            <w:rStyle w:val="Hyperlink"/>
          </w:rPr>
          <w:t xml:space="preserve">8</w:t>
        </w:r>
      </w:hyperlink>
      <w:r>
        <w:t xml:space="preserve">）；两条示例阈值的敏感度/特异度权衡已在问题四节说明，需按用途与独立数据复核。</w:t>
      </w:r>
    </w:p>
    <w:bookmarkEnd w:id="78"/>
    <w:bookmarkEnd w:id="79"/>
    <w:bookmarkStart w:id="80" w:name="模型的评价"/>
    <w:p>
      <w:pPr>
        <w:pStyle w:val="Heading1"/>
      </w:pPr>
      <w:r>
        <w:t xml:space="preserve">模型的评价</w:t>
      </w:r>
    </w:p>
    <w:p>
      <w:pPr>
        <w:pStyle w:val="FirstParagraph"/>
      </w:pPr>
      <w:r>
        <w:t xml:space="preserve">评价既要总结模型做到了什么，也要明确它没有做到什么，二者共同决定结论的可迁移范围。</w:t>
      </w:r>
    </w:p>
    <w:p>
      <w:pPr>
        <w:pStyle w:val="BodyText"/>
      </w:pPr>
      <w:r>
        <w:t xml:space="preserve">模型的优点可以归纳为三层。第一层是数据结构的诚实处理：模型将孕妇、抽血和测序记录分层，用随机截距刻画重复测量相关，验证以孕妇为界，避免重复记录造成虚假的独立样本量，也避免同一孕妇的记录横跨训练与测试折的性能高估。第二层是决策逻辑的可追溯性：将浓度关联、达标概率和风险优化拆成三个明确的概率/决策对象，使每个推荐时点都可以逐项回推到阈值、风险权重与可行性约束，而不是一个"端到端黑箱"的输出；问题二给出的三组时点能明确说出它依赖的4%阈值、M情景权重、最小组样本量与观测支持规则，便于评审核对或在权重变化时重算。第三层是口径一致性：预处理、参数选择与阈值选择均在训练主体内完成，折外记录只评估一次；报告同时给出条件表现与主体留出表现、点估计与Bootstrap区间，避免把"拟合好"误报成"泛化好"。</w:t>
      </w:r>
    </w:p>
    <w:p>
      <w:pPr>
        <w:pStyle w:val="BodyText"/>
      </w:pPr>
      <w:r>
        <w:t xml:space="preserve">模型的局限同样需要如实陈述。其一，风险权重</w:t>
      </w:r>
      <m:oMath>
        <m:r>
          <m:t>λ</m:t>
        </m:r>
        <m:r>
          <m:rPr>
            <m:sty m:val="p"/>
          </m:rPr>
          <m:t>,</m:t>
        </m:r>
        <m:r>
          <m:t>δ</m:t>
        </m:r>
      </m:oMath>
      <w:r>
        <w:t xml:space="preserve">由外部情景指定而非临床效用标定，因此三组时点只在"该权重可接受"的前提下成立，换一组代价就可能改变分组与推荐周；正文选择M情景并同时报告L/H的变化，正是为了把这种依赖显式化。其二，数据覆盖有边界：早孕（不晚于12周的首次观测仅69名孕妇）与高BMI区域支持较少，女胎阳性仅44名孕妇，极端区域的策略与指标带有较大验证方差，正文不作无条件外推。其三，女胎异常标签来自附件标记而非确诊结局，所有AUC、敏感度等数字描述的都是"对标记的判别"，不是对临床结局的诊断性能。其四，问题四的两条示例阈值是以交叉验证汇总得到的，必须以独立队列重新估计和验证后才能作为部署阈值，直接使用会混淆"验证口径"与"临床决策口径"。</w:t>
      </w:r>
    </w:p>
    <w:bookmarkEnd w:id="80"/>
    <w:bookmarkStart w:id="81" w:name="模型的改进与推广"/>
    <w:p>
      <w:pPr>
        <w:pStyle w:val="Heading1"/>
      </w:pPr>
      <w:r>
        <w:t xml:space="preserve">模型的改进与推广</w:t>
      </w:r>
    </w:p>
    <w:p>
      <w:pPr>
        <w:pStyle w:val="FirstParagraph"/>
      </w:pPr>
      <w:r>
        <w:t xml:space="preserve">改进的方向应指向当前局限对应的数据与信息缺口，而不是在现有数据上堆叠复杂度。最直接的一类改进是补充预约前的基线信息：若能在决策前获得更完整的孕产史、用药史或既往妊娠结局，Q2/Q3 的个体分层会更细，但新变量仍必须通过"同折配对比较是否带来稳定增益"的门槛，而不是因为"有道理"就直接进入主模型。第二类改进是收集早孕期的独立队列与更多高BMI孕妇，扩充目前观测支持薄弱的区域；测量误差方面，若获得同次抽血的更多重复测序样本，可把</w:t>
      </w:r>
      <w:r>
        <w:t xml:space="preserve"> </w:t>
      </w:r>
      <m:oMath>
        <m:sSub>
          <m:e>
            <m:acc>
              <m:accPr>
                <m:chr m:val="̂"/>
              </m:accPr>
              <m:e>
                <m:r>
                  <m:t>σ</m:t>
                </m:r>
              </m:e>
            </m:acc>
          </m:e>
          <m:sub>
            <m:r>
              <m:t>m</m:t>
            </m:r>
          </m:sub>
        </m:sSub>
      </m:oMath>
      <w:r>
        <w:t xml:space="preserve"> </w:t>
      </w:r>
      <w:r>
        <w:t xml:space="preserve">的估计从18组、14名孕妇扩展到更精确的尺度并检验异方差。第三类改进是针对问题四：取得经过产前诊断或随访确认的结局标签与更大的阳性样本后，才能在独立数据上重新估计阈值并把漏诊/误诊代价显式写入目标函数，从而把本文的示例规则升级为经过部署验证的判定规则。</w:t>
      </w:r>
    </w:p>
    <w:p>
      <w:pPr>
        <w:pStyle w:val="BodyText"/>
      </w:pPr>
      <w:r>
        <w:t xml:space="preserve">方法层面，本文建立的"纵向关联解释—边际概率预测—条件风险决策—不平衡分类判读"框架具有可迁移性。在推广时，必须重新定义四个要素而不是照搬参数：可用信息时点（哪些变量在决策前可得）、事件阈值（4%只是本题口径）、主体单位（孕妇、抽血还是测序取决于决策对象）以及风险权重（由具体应用的延迟成本决定）。只要这四个要素在新任务中被重新设定，同一套主体分组验证、嵌套调参与同折配对的流程即可用于复检预约、连续生理指标随访或筛查流程优化等场景；反过来说，任何不加条件地把本题BMI切点或分类阈值移植到其他人群的做法，都不在本文建议范围内。</w:t>
      </w:r>
    </w:p>
    <w:p>
      <w:pPr>
        <w:pStyle w:val="BodyText"/>
      </w:pPr>
      <w:r>
        <w:t xml:space="preserve">99</w:t>
      </w:r>
      <w:r>
        <w:t xml:space="preserve"> </w:t>
      </w:r>
      <w:r>
        <w:t xml:space="preserve">Wang E, Batey A, Struble C, et al. Gestational age and maternal weight effects on fetal cell-free DNA in maternal plasma.</w:t>
      </w:r>
      <w:r>
        <w:t xml:space="preserve"> </w:t>
      </w:r>
      <w:r>
        <w:rPr>
          <w:iCs/>
          <w:i/>
        </w:rPr>
        <w:t xml:space="preserve">Prenatal Diagnosis</w:t>
      </w:r>
      <w:r>
        <w:t xml:space="preserve">, 2013, 33(7): 662–666.</w:t>
      </w:r>
      <w:r>
        <w:t xml:space="preserve"> </w:t>
      </w:r>
      <w:r>
        <w:t xml:space="preserve">Laird N M, Ware J H. Random-effects models for longitudinal data.</w:t>
      </w:r>
      <w:r>
        <w:t xml:space="preserve"> </w:t>
      </w:r>
      <w:r>
        <w:rPr>
          <w:iCs/>
          <w:i/>
        </w:rPr>
        <w:t xml:space="preserve">Biometrics</w:t>
      </w:r>
      <w:r>
        <w:t xml:space="preserve">, 1982, 38(4): 963–974.</w:t>
      </w:r>
      <w:r>
        <w:t xml:space="preserve"> </w:t>
      </w:r>
      <w:r>
        <w:t xml:space="preserve">Yang J, Ding X, Zhu W. Improving the calling of non-invasive prenatal testing on 13-/18-/21-trisomy by support vector machine discrimination.</w:t>
      </w:r>
      <w:r>
        <w:t xml:space="preserve"> </w:t>
      </w:r>
      <w:r>
        <w:rPr>
          <w:iCs/>
          <w:i/>
        </w:rPr>
        <w:t xml:space="preserve">PLOS ONE</w:t>
      </w:r>
      <w:r>
        <w:t xml:space="preserve">, 2018, 13(12): e0207840.</w:t>
      </w:r>
      <w:r>
        <w:t xml:space="preserve"> </w:t>
      </w:r>
      <w:r>
        <w:t xml:space="preserve">Efron B. Bootstrap methods: Another look at the jackknife.</w:t>
      </w:r>
      <w:r>
        <w:t xml:space="preserve"> </w:t>
      </w:r>
      <w:r>
        <w:rPr>
          <w:iCs/>
          <w:i/>
        </w:rPr>
        <w:t xml:space="preserve">The Annals of Statistics</w:t>
      </w:r>
      <w:r>
        <w:t xml:space="preserve">, 1979, 7(1): 1–26.</w:t>
      </w:r>
      <w:r>
        <w:t xml:space="preserve"> </w:t>
      </w:r>
      <w:r>
        <w:t xml:space="preserve">Zou H, Hastie T. Regularization and variable selection via the elastic net.</w:t>
      </w:r>
      <w:r>
        <w:t xml:space="preserve"> </w:t>
      </w:r>
      <w:r>
        <w:rPr>
          <w:iCs/>
          <w:i/>
        </w:rPr>
        <w:t xml:space="preserve">Journal of the Royal Statistical Society: Series B</w:t>
      </w:r>
      <w:r>
        <w:t xml:space="preserve">, 2005, 67(2): 301–320.</w:t>
      </w:r>
      <w:r>
        <w:t xml:space="preserve"> </w:t>
      </w:r>
      <w:r>
        <w:t xml:space="preserve">Brier G W. Verification of forecasts expressed in terms of probability.</w:t>
      </w:r>
      <w:r>
        <w:t xml:space="preserve"> </w:t>
      </w:r>
      <w:r>
        <w:rPr>
          <w:iCs/>
          <w:i/>
        </w:rPr>
        <w:t xml:space="preserve">Monthly Weather Review</w:t>
      </w:r>
      <w:r>
        <w:t xml:space="preserve">, 1950, 78(1): 1–3.</w:t>
      </w:r>
    </w:p>
    <w:bookmarkEnd w:id="81"/>
    <w:bookmarkStart w:id="82" w:name="附录"/>
    <w:p>
      <w:pPr>
        <w:pStyle w:val="Heading1"/>
      </w:pPr>
      <w:r>
        <w:t xml:space="preserve">附录</w:t>
      </w:r>
    </w:p>
    <w:p>
      <w:pPr>
        <w:pStyle w:val="FirstParagraph"/>
      </w:pPr>
      <w:r>
        <w:t xml:space="preserve">正文所有可报告的数字都来自随论文提交的支撑材料：各实验以 ‘results/‘ 下的复现清单（含输入文件 SHA-256、随机种子与唯一运行命令）绑定代码与输出，‘outputs/‘ 下的 experiment.json 记录参数与汇总结果，‘figures/‘ 提供正文插图的 PNG/SVG 原件。下表列出正文各问对应的唯一可运行入口；按附录文件表顺序执行即可复现从原始附件到论文数字的完整链条。附件与代码均为只读/固定版本，重跑结果以 ‘outputs/‘ 中已提交的文件为准。</w:t>
      </w:r>
    </w:p>
    <w:p>
      <w:pPr>
        <w:pStyle w:val="BodyText"/>
      </w:pPr>
      <w:r>
        <w:t xml:space="preserve">LX</w:t>
      </w:r>
      <w:r>
        <w:t xml:space="preserve">文件&amp;说明</w:t>
      </w:r>
      <w:r>
        <w:br/>
      </w:r>
      <w:r>
        <w:rPr>
          <w:rStyle w:val="VerbatimChar"/>
        </w:rPr>
        <w:t xml:space="preserve">src/q1_lmm_baseline.py</w:t>
      </w:r>
      <w:r>
        <w:t xml:space="preserve">&amp;问题一随机截距线性混合模型与固定效应表</w:t>
      </w:r>
      <w:r>
        <w:br/>
      </w:r>
      <w:r>
        <w:rPr>
          <w:rStyle w:val="VerbatimChar"/>
        </w:rPr>
        <w:t xml:space="preserve">src/q1_spline_comparison.py</w:t>
      </w:r>
      <w:r>
        <w:t xml:space="preserve">&amp;问题一样条对照的主体留出验证</w:t>
      </w:r>
      <w:r>
        <w:br/>
      </w:r>
      <w:r>
        <w:rPr>
          <w:rStyle w:val="VerbatimChar"/>
        </w:rPr>
        <w:t xml:space="preserve">src/q2_probability.py</w:t>
      </w:r>
      <w:r>
        <w:t xml:space="preserve">&amp;问题二边际达标概率与动态规划策略</w:t>
      </w:r>
      <w:r>
        <w:br/>
      </w:r>
      <w:r>
        <w:rPr>
          <w:rStyle w:val="VerbatimChar"/>
        </w:rPr>
        <w:t xml:space="preserve">src/q23_measurement_sensitivity.py</w:t>
      </w:r>
      <w:r>
        <w:t xml:space="preserve">&amp;同次抽血波动尺度、主体重采样与噪声敏感性</w:t>
      </w:r>
      <w:r>
        <w:br/>
      </w:r>
      <w:r>
        <w:rPr>
          <w:rStyle w:val="VerbatimChar"/>
        </w:rPr>
        <w:t xml:space="preserve">src/q4_model.py</w:t>
      </w:r>
      <w:r>
        <w:t xml:space="preserve">&amp;问题四 Elastic-Net 主模型（嵌套主体分组验证）</w:t>
      </w:r>
      <w:r>
        <w:br/>
      </w:r>
      <w:r>
        <w:rPr>
          <w:rStyle w:val="VerbatimChar"/>
        </w:rPr>
        <w:t xml:space="preserve">src/q4_coef_export.py</w:t>
      </w:r>
      <w:r>
        <w:t xml:space="preserve">&amp;问题四各折最终模型标准化系数导出</w:t>
      </w:r>
      <w:r>
        <w:br/>
      </w:r>
      <w:r>
        <w:rPr>
          <w:rStyle w:val="VerbatimChar"/>
        </w:rPr>
        <w:t xml:space="preserve">outputs/</w:t>
      </w:r>
      <w:r>
        <w:t xml:space="preserve">&amp;模型输出、图表、指标、校准与各实验记录</w:t>
      </w:r>
      <w:r>
        <w:br/>
      </w:r>
      <w:r>
        <w:rPr>
          <w:rStyle w:val="VerbatimChar"/>
        </w:rPr>
        <w:t xml:space="preserve">results/复现清单.json、q4_manifest.json 等</w:t>
      </w:r>
      <w:r>
        <w:t xml:space="preserve">&amp;随机种子、输入哈希与唯一复现命令</w:t>
      </w:r>
      <w:r>
        <w:br/>
      </w:r>
    </w:p>
    <w:bookmarkEnd w:id="8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ea454b4c"/>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90"/>
  <w:embedSystemFonts/>
  <w:proofState w:grammar="clean" w:spelling="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accent1="accent1" w:accent2="accent2" w:accent3="accent3" w:accent4="accent4" w:accent5="accent5" w:accent6="accent6" w:bg1="light1" w:bg2="light2" w:followedHyperlink="followedHyperlink" w:hyperlink="hyperlink" w:t1="dark1" w:t2="dark2"/>
  <w:decimalSymbol w:val="."/>
  <w:listSeparator w:val=","/>
  <w:proofState w:grammar="clean" w:spelling="clean"/>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69" Target="media/rId69.png" /><Relationship Type="http://schemas.openxmlformats.org/officeDocument/2006/relationships/image" Id="rId50" Target="media/rId50.png" /><Relationship Type="http://schemas.openxmlformats.org/officeDocument/2006/relationships/image" Id="rId60" Target="media/rId60.png" /><Relationship Type="http://schemas.openxmlformats.org/officeDocument/2006/relationships/image" Id="rId27" Target="media/rId27.png" /><Relationship Type="http://schemas.openxmlformats.org/officeDocument/2006/relationships/image" Id="rId45" Target="media/rId45.png" /><Relationship Type="http://schemas.openxmlformats.org/officeDocument/2006/relationships/image" Id="rId67" Target="media/rId67.png" /><Relationship Type="http://schemas.openxmlformats.org/officeDocument/2006/relationships/image" Id="rId32" Target="media/rId32.png" /><Relationship Type="http://schemas.openxmlformats.org/officeDocument/2006/relationships/image" Id="rId35" Target="media/rId35.png" /><Relationship Type="http://schemas.openxmlformats.org/officeDocument/2006/relationships/image" Id="rId43" Target="media/rId43.png" /><Relationship Type="http://schemas.openxmlformats.org/officeDocument/2006/relationships/image" Id="rId41" Target="media/rId41.png" /><Relationship Type="http://schemas.openxmlformats.org/officeDocument/2006/relationships/image" Id="rId71" Target="media/rId71.png" /><Relationship Type="http://schemas.openxmlformats.org/officeDocument/2006/relationships/image" Id="rId58" Target="media/rId58.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2026-09-08T14:36:55Z</dcterms:created>
  <dcterms:modified xsi:type="dcterms:W3CDTF">2026-09-08T14:36:55Z</dcterms:modified>
</cp:coreProperties>
</file>

<file path=docProps/custom.xml><?xml version="1.0" encoding="utf-8"?>
<Properties xmlns="http://schemas.openxmlformats.org/officeDocument/2006/custom-properties" xmlns:vt="http://schemas.openxmlformats.org/officeDocument/2006/docPropsVTypes"/>
</file>