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300" w:lineRule="auto"/>
        <w:jc w:val="center"/>
      </w:pPr>
      <w:r>
        <w:rPr>
          <w:rFonts w:ascii="Times New Roman" w:hAnsi="Times New Roman" w:eastAsia="黑体"/>
          <w:b w:val="0"/>
          <w:sz w:val="28"/>
        </w:rPr>
        <w:t>考虑重复检测与观测不确定性的NIPT时点选择和异常判定</w:t>
      </w:r>
    </w:p>
    <w:p>
      <w:pPr>
        <w:spacing w:before="0" w:after="0" w:line="300" w:lineRule="auto"/>
        <w:jc w:val="center"/>
      </w:pPr>
      <w:r>
        <w:rPr>
          <w:rFonts w:ascii="Times New Roman" w:hAnsi="Times New Roman" w:eastAsia="黑体"/>
          <w:b w:val="0"/>
          <w:sz w:val="28"/>
        </w:rPr>
        <w:t>摘 要</w:t>
      </w:r>
    </w:p>
    <w:p>
      <w:pPr>
        <w:spacing w:before="0" w:after="0" w:line="264" w:lineRule="auto"/>
        <w:ind w:firstLine="480"/>
      </w:pPr>
      <w:r>
        <w:rPr>
          <w:rFonts w:ascii="Times New Roman" w:hAnsi="Times New Roman" w:eastAsia="宋体"/>
          <w:b w:val="0"/>
          <w:sz w:val="24"/>
        </w:rPr>
        <w:t>无创产前检测的时点选择同时涉及胎儿游离DNA浓度、重复检测相关性与延迟发现风险。针对2025年全国大学生数学建模竞赛C题，本文以男胎1082条记录、267名孕妇和女胎605条记录、147名孕妇为研究对象，将浓度关系解释、达标概率预测和条件风险决策分开建模，避免把同一孕妇的多次测序当作独立样本。</w:t>
      </w:r>
    </w:p>
    <w:p>
      <w:pPr>
        <w:spacing w:before="0" w:after="0" w:line="264" w:lineRule="auto"/>
        <w:ind w:firstLine="480"/>
      </w:pPr>
      <w:r>
        <w:rPr>
          <w:rFonts w:ascii="Times New Roman" w:hAnsi="Times New Roman" w:eastAsia="宋体"/>
          <w:b w:val="0"/>
          <w:sz w:val="24"/>
        </w:rPr>
        <w:t>针对问题一，在Y染色体浓度的logit尺度上建立随机截距线性混合模型，并以低维加性样条作对照。孕周系数为0.04701，BMI系数为−0.02446，组内相关系数为0.7283；但按孕妇留出的预测决定系数为−0.0302，说明群体相关关系与个体预测能力不能等同。针对问题二，建立随机截距二项模型，对新孕妇随机效应积分获得边际达标概率，再以动态规划联合确定连续BMI分组与检测时点。在4%阈值、每日搜索网格和指定中延迟风险权重下，三组条件时点为11周、11周6天、12周6天，样本人数分别为200、25、42。</w:t>
      </w:r>
    </w:p>
    <w:p>
      <w:pPr>
        <w:spacing w:before="0" w:after="0" w:line="264" w:lineRule="auto"/>
        <w:ind w:firstLine="480"/>
      </w:pPr>
      <w:r>
        <w:rPr>
          <w:rFonts w:ascii="Times New Roman" w:hAnsi="Times New Roman" w:eastAsia="宋体"/>
          <w:b w:val="0"/>
          <w:sz w:val="24"/>
        </w:rPr>
        <w:t>针对问题三，在相同验证划分下引入年龄、身高及孕产相关变量。两种固定多因素规格均未显示稳定预测增益；年龄和身高扩展方案给出11周、12周2天、12周6天的三组条件时点。利用18个同次抽血重复测序组估计logit测量波动尺度0.1237，并完成20轮主体重采样、4种额外噪声水平下的160次拟合。结果显示分组和时点对外部风险权重、达标阈值及样本扰动敏感，不能给出脱离这些条件的唯一最优时点。</w:t>
      </w:r>
    </w:p>
    <w:p>
      <w:pPr>
        <w:spacing w:before="0" w:after="0" w:line="264" w:lineRule="auto"/>
        <w:ind w:firstLine="480"/>
      </w:pPr>
      <w:r>
        <w:rPr>
          <w:rFonts w:ascii="Times New Roman" w:hAnsi="Times New Roman" w:eastAsia="宋体"/>
          <w:b w:val="0"/>
          <w:sz w:val="24"/>
        </w:rPr>
        <w:t>针对问题四，采用主体隔离的正则化Logistic模型分别识别总体异常标记及T13、T18、T21标记。总体标记的平均精确率为0.3823，Brier分数为0.08419；T21平均精确率仅0.0302，表现不足。全文通过分组交叉验证、概率校准检查、可行性约束和敏感性分析给出可复核的题目解答，同时明确观测性数据、稀有标签和预约前变量可得性对推广的限制。</w:t>
      </w:r>
    </w:p>
    <w:p>
      <w:pPr>
        <w:spacing w:before="0" w:after="0" w:line="300" w:lineRule="auto"/>
      </w:pPr>
    </w:p>
    <w:p>
      <w:pPr>
        <w:spacing w:before="0" w:after="0" w:line="300" w:lineRule="auto"/>
      </w:pPr>
      <w:r>
        <w:rPr>
          <w:rFonts w:ascii="Times New Roman" w:hAnsi="Times New Roman" w:eastAsia="宋体"/>
          <w:b/>
          <w:sz w:val="24"/>
        </w:rPr>
        <w:t>关键词：</w:t>
      </w:r>
      <w:r>
        <w:rPr>
          <w:rFonts w:ascii="Times New Roman" w:hAnsi="Times New Roman" w:eastAsia="宋体"/>
          <w:b w:val="0"/>
          <w:sz w:val="24"/>
        </w:rPr>
        <w:t>NIPT；重复测量；混合效应模型；动态规划；概率校准</w:t>
      </w:r>
    </w:p>
    <w:p>
      <w:r>
        <w:br w:type="page"/>
      </w:r>
    </w:p>
    <w:p>
      <w:pPr>
        <w:pageBreakBefore w:val="0"/>
        <w:spacing w:before="0" w:after="0" w:line="300" w:lineRule="auto"/>
        <w:jc w:val="center"/>
      </w:pPr>
      <w:r>
        <w:rPr>
          <w:rFonts w:ascii="Times New Roman" w:hAnsi="Times New Roman" w:eastAsia="宋体"/>
          <w:b/>
          <w:sz w:val="32"/>
        </w:rPr>
        <w:t>1 问题重述与研究思路</w:t>
      </w:r>
    </w:p>
    <w:p>
      <w:pPr>
        <w:spacing w:before="0" w:after="0" w:line="300" w:lineRule="auto"/>
      </w:pPr>
      <w:r>
        <w:rPr>
          <w:rFonts w:ascii="Times New Roman" w:hAnsi="Times New Roman" w:eastAsia="宋体"/>
          <w:b w:val="0"/>
          <w:sz w:val="28"/>
        </w:rPr>
        <w:t>1.1 研究任务</w:t>
      </w:r>
    </w:p>
    <w:p>
      <w:pPr>
        <w:spacing w:before="0" w:after="0" w:line="264" w:lineRule="auto"/>
        <w:ind w:firstLine="480"/>
      </w:pPr>
      <w:r>
        <w:rPr>
          <w:rFonts w:ascii="Times New Roman" w:hAnsi="Times New Roman" w:eastAsia="宋体"/>
          <w:b w:val="0"/>
          <w:sz w:val="24"/>
        </w:rPr>
        <w:t>题目研究利用孕妇外周血中的胎儿游离DNA进行无创产前检测时，如何兼顾检测可信度与异常发现时间。男胎Y染色体浓度可作为相关信号，题面以不低于4%作为重要判断条件；女胎没有相同的Y信号，需要依据其他染色体统计量、测序质量及孕妇特征判断异常。题面强调，过早检测可能因信号不足而失败，过晚发现又会压缩干预窗口。因此，本文讨论的“较好检测时点”不是单一预测模型分数最大的时点，而是在明确代价下作出的决策。</w:t>
      </w:r>
    </w:p>
    <w:p>
      <w:pPr>
        <w:spacing w:before="0" w:after="0" w:line="264" w:lineRule="auto"/>
        <w:ind w:firstLine="480"/>
      </w:pPr>
      <w:r>
        <w:rPr>
          <w:rFonts w:ascii="Times New Roman" w:hAnsi="Times New Roman" w:eastAsia="宋体"/>
          <w:b w:val="0"/>
          <w:sz w:val="24"/>
        </w:rPr>
        <w:t>问题一要求解释Y染色体浓度与孕周、BMI等变量的关系并检验显著性。问题二要求按BMI合理分组，确定各组检测时点，并分析检测误差。问题三进一步考虑年龄、身高、体重等因素及达标比例，改进分组时点方案。问题四要求以女胎数据中的染色体非整倍体标记为判定目标，综合各染色体Z值、GC含量、读段及BMI等指标构造异常判定方法。四问的联系在于前两层模型为决策提供概率，但女胎异常标记的分类任务具有不同目标，不能直接沿用男胎浓度模型。</w:t>
      </w:r>
    </w:p>
    <w:p>
      <w:pPr>
        <w:spacing w:before="0" w:after="0" w:line="300" w:lineRule="auto"/>
      </w:pPr>
      <w:r>
        <w:rPr>
          <w:rFonts w:ascii="Times New Roman" w:hAnsi="Times New Roman" w:eastAsia="宋体"/>
          <w:b w:val="0"/>
          <w:sz w:val="28"/>
        </w:rPr>
        <w:t>1.2 从相关关系到条件决策</w:t>
      </w:r>
    </w:p>
    <w:p>
      <w:pPr>
        <w:spacing w:before="0" w:after="0" w:line="264" w:lineRule="auto"/>
        <w:ind w:firstLine="480"/>
      </w:pPr>
      <w:r>
        <w:rPr>
          <w:rFonts w:ascii="Times New Roman" w:hAnsi="Times New Roman" w:eastAsia="宋体"/>
          <w:b w:val="0"/>
          <w:sz w:val="24"/>
        </w:rPr>
        <w:t>本文按三个层次展开。第一层解释群体内和群体间的浓度差异，回答变量与浓度是否存在统计关联；第二层预测某个观测孕周的浓度达标概率，回答此时出现足够信号的可能性；第三层在指定代价和观测支持约束下优化分组方案。三层结果的含义不同：显著系数不能自动推出良好的个体预测，良好的概率预测也不能自动证明某个预约策略具有真实干预收益。</w:t>
      </w:r>
    </w:p>
    <w:p>
      <w:pPr>
        <w:spacing w:before="0" w:after="0" w:line="264" w:lineRule="auto"/>
        <w:ind w:firstLine="480"/>
      </w:pPr>
      <w:r>
        <w:rPr>
          <w:rFonts w:ascii="Times New Roman" w:hAnsi="Times New Roman" w:eastAsia="宋体"/>
          <w:b w:val="0"/>
          <w:sz w:val="24"/>
        </w:rPr>
        <w:t>历史研究报告过孕周、母体体重与胎儿游离DNA比例的关联[1]，为变量选择提供背景，但不能代替本题附件的检验。本文不移植其他研究的最优阈值、分组切点或准确率；题面4%用于主分析，其他阈值仅作为敏感性设定。数据包含重复测量，采用随机效应刻画主体相关性，其统计动机来自纵向数据模型[2]。后续验证始终以孕妇为划分单位，使测试结果对应从未参与训练的新孕妇。</w:t>
      </w:r>
    </w:p>
    <w:p>
      <w:pPr>
        <w:spacing w:before="0" w:after="0" w:line="300" w:lineRule="auto"/>
      </w:pPr>
      <w:r>
        <w:rPr>
          <w:rFonts w:ascii="Times New Roman" w:hAnsi="Times New Roman" w:eastAsia="宋体"/>
          <w:b w:val="0"/>
          <w:sz w:val="28"/>
        </w:rPr>
        <w:t>1.3 输出的使用范围</w:t>
      </w:r>
    </w:p>
    <w:p>
      <w:pPr>
        <w:spacing w:before="0" w:after="0" w:line="264" w:lineRule="auto"/>
        <w:ind w:firstLine="480"/>
      </w:pPr>
      <w:r>
        <w:rPr>
          <w:rFonts w:ascii="Times New Roman" w:hAnsi="Times New Roman" w:eastAsia="宋体"/>
          <w:b w:val="0"/>
          <w:sz w:val="24"/>
        </w:rPr>
        <w:t>本文给出的BMI区间和孕周是附件人群、指定风险函数和既定信息条件下的计算解，而不是临床诊疗建议。附件没有随机分配检测时点，也没有完整观察每位孕妇首次达到阈值的全过程。因此，本文不声称识别了改变检测时点的因果效应。对于超出样本BMI范围、观测稀少的早孕时段，以及具有不同测序平台、随访机制的人群，应先补充数据再重新估计，而不能直接套用表中的数字。</w:t>
      </w:r>
    </w:p>
    <w:p>
      <w:pPr>
        <w:pageBreakBefore w:val="0"/>
        <w:spacing w:before="0" w:after="0" w:line="300" w:lineRule="auto"/>
        <w:jc w:val="center"/>
      </w:pPr>
      <w:r>
        <w:rPr>
          <w:rFonts w:ascii="Times New Roman" w:hAnsi="Times New Roman" w:eastAsia="宋体"/>
          <w:b/>
          <w:sz w:val="32"/>
        </w:rPr>
        <w:t>2 数据审查、假设与符号</w:t>
      </w:r>
    </w:p>
    <w:p>
      <w:pPr>
        <w:spacing w:before="0" w:after="0" w:line="300" w:lineRule="auto"/>
      </w:pPr>
      <w:r>
        <w:rPr>
          <w:rFonts w:ascii="Times New Roman" w:hAnsi="Times New Roman" w:eastAsia="宋体"/>
          <w:b w:val="0"/>
          <w:sz w:val="28"/>
        </w:rPr>
        <w:t>2.1 数据层级与基本情况</w:t>
      </w:r>
    </w:p>
    <w:p>
      <w:pPr>
        <w:spacing w:before="0" w:after="0" w:line="264" w:lineRule="auto"/>
        <w:ind w:firstLine="480"/>
      </w:pPr>
      <w:r>
        <w:rPr>
          <w:rFonts w:ascii="Times New Roman" w:hAnsi="Times New Roman" w:eastAsia="宋体"/>
          <w:b w:val="0"/>
          <w:sz w:val="24"/>
        </w:rPr>
        <w:t>男胎工作表包含1082条测序记录、267名孕妇；女胎工作表包含605条记录、147名孕妇。男胎每位孕妇有1至8条记录，中位数为4条。同一孕妇可能在不同时间重复抽血，同次抽血又可能重复测序。这两类重复反映不同变异来源：前者包含随孕周变化及个体持续差异，后者更接近检测过程波动。合并或删除前必须明确所处层级，否则既可能丢失有用信息，也可能人为增大样本量。</w:t>
      </w:r>
    </w:p>
    <w:p>
      <w:pPr>
        <w:spacing w:before="0" w:after="0" w:line="264" w:lineRule="auto"/>
        <w:ind w:firstLine="480"/>
      </w:pPr>
      <w:r>
        <w:rPr>
          <w:rFonts w:ascii="Times New Roman" w:hAnsi="Times New Roman" w:eastAsia="宋体"/>
          <w:b w:val="0"/>
          <w:sz w:val="24"/>
        </w:rPr>
        <w:t>表1列出主要数据事实。男胎观测孕周为11至29周，BMI范围约20.70至46.88。Y浓度有937条达到4%，145条未达到，不能把145条低浓度记录简单视为无效数据删除，因为它们恰好承载了检测过早失败的风险信息。图1展示重复记录数量分布，说明以记录数代替独立样本数会低估统计不确定性。</w:t>
      </w:r>
    </w:p>
    <w:p>
      <w:pPr>
        <w:spacing w:before="0" w:after="0" w:line="264" w:lineRule="auto"/>
        <w:ind w:firstLine="480"/>
      </w:pPr>
      <w:r>
        <w:rPr>
          <w:rFonts w:ascii="Times New Roman" w:hAnsi="Times New Roman" w:eastAsia="宋体"/>
          <w:b w:val="0"/>
          <w:sz w:val="24"/>
        </w:rPr>
        <w:t>表1 数据结构与阈值观测概况</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3024"/>
        <w:gridCol w:w="3024"/>
        <w:gridCol w:w="3024"/>
      </w:tblGrid>
      <w:tr>
        <w:tc>
          <w:tcPr>
            <w:tcW w:type="dxa" w:w="3024"/>
            <w:tcBorders>
              <w:bottom w:val="single" w:sz="4" w:space="0" w:color="000000"/>
            </w:tcBorders>
          </w:tcPr>
          <w:p>
            <w:pPr>
              <w:spacing w:line="240" w:lineRule="auto"/>
              <w:jc w:val="center"/>
            </w:pPr>
            <w:r>
              <w:rPr>
                <w:sz w:val="20"/>
              </w:rPr>
            </w:r>
            <w:r>
              <w:rPr>
                <w:rFonts w:ascii="Times New Roman" w:hAnsi="Times New Roman" w:eastAsia="宋体"/>
                <w:b/>
                <w:sz w:val="20"/>
              </w:rPr>
              <w:t>项目</w:t>
            </w:r>
          </w:p>
        </w:tc>
        <w:tc>
          <w:tcPr>
            <w:tcW w:type="dxa" w:w="3024"/>
            <w:tcBorders>
              <w:bottom w:val="single" w:sz="4" w:space="0" w:color="000000"/>
            </w:tcBorders>
          </w:tcPr>
          <w:p>
            <w:pPr>
              <w:spacing w:line="240" w:lineRule="auto"/>
              <w:jc w:val="center"/>
            </w:pPr>
            <w:r>
              <w:rPr>
                <w:sz w:val="20"/>
              </w:rPr>
            </w:r>
            <w:r>
              <w:rPr>
                <w:rFonts w:ascii="Times New Roman" w:hAnsi="Times New Roman" w:eastAsia="宋体"/>
                <w:b/>
                <w:sz w:val="20"/>
              </w:rPr>
              <w:t>数值</w:t>
            </w:r>
          </w:p>
        </w:tc>
        <w:tc>
          <w:tcPr>
            <w:tcW w:type="dxa" w:w="3024"/>
            <w:tcBorders>
              <w:bottom w:val="single" w:sz="4" w:space="0" w:color="000000"/>
            </w:tcBorders>
          </w:tcPr>
          <w:p>
            <w:pPr>
              <w:spacing w:line="240" w:lineRule="auto"/>
              <w:jc w:val="center"/>
            </w:pPr>
            <w:r>
              <w:rPr>
                <w:sz w:val="20"/>
              </w:rPr>
            </w:r>
            <w:r>
              <w:rPr>
                <w:rFonts w:ascii="Times New Roman" w:hAnsi="Times New Roman" w:eastAsia="宋体"/>
                <w:b/>
                <w:sz w:val="20"/>
              </w:rPr>
              <w:t>对建模的含义</w:t>
            </w:r>
          </w:p>
        </w:tc>
      </w:tr>
      <w:tr>
        <w:tc>
          <w:tcPr>
            <w:tcW w:type="dxa" w:w="3024"/>
          </w:tcPr>
          <w:p>
            <w:pPr>
              <w:spacing w:line="240" w:lineRule="auto"/>
              <w:jc w:val="center"/>
            </w:pPr>
            <w:r>
              <w:rPr>
                <w:sz w:val="20"/>
              </w:rPr>
            </w:r>
            <w:r>
              <w:rPr>
                <w:rFonts w:ascii="Times New Roman" w:hAnsi="Times New Roman" w:eastAsia="宋体"/>
                <w:b w:val="0"/>
                <w:sz w:val="20"/>
              </w:rPr>
              <w:t>男胎记录／孕妇</w:t>
            </w:r>
          </w:p>
        </w:tc>
        <w:tc>
          <w:tcPr>
            <w:tcW w:type="dxa" w:w="3024"/>
          </w:tcPr>
          <w:p>
            <w:pPr>
              <w:spacing w:line="240" w:lineRule="auto"/>
              <w:jc w:val="center"/>
            </w:pPr>
            <w:r>
              <w:rPr>
                <w:sz w:val="20"/>
              </w:rPr>
            </w:r>
            <w:r>
              <w:rPr>
                <w:rFonts w:ascii="Times New Roman" w:hAnsi="Times New Roman" w:eastAsia="宋体"/>
                <w:b w:val="0"/>
                <w:sz w:val="20"/>
              </w:rPr>
              <w:t>1082／267</w:t>
            </w:r>
          </w:p>
        </w:tc>
        <w:tc>
          <w:tcPr>
            <w:tcW w:type="dxa" w:w="3024"/>
          </w:tcPr>
          <w:p>
            <w:pPr>
              <w:spacing w:line="240" w:lineRule="auto"/>
              <w:jc w:val="center"/>
            </w:pPr>
            <w:r>
              <w:rPr>
                <w:sz w:val="20"/>
              </w:rPr>
            </w:r>
            <w:r>
              <w:rPr>
                <w:rFonts w:ascii="Times New Roman" w:hAnsi="Times New Roman" w:eastAsia="宋体"/>
                <w:b w:val="0"/>
                <w:sz w:val="20"/>
              </w:rPr>
              <w:t>主体分组验证</w:t>
            </w:r>
          </w:p>
        </w:tc>
      </w:tr>
      <w:tr>
        <w:tc>
          <w:tcPr>
            <w:tcW w:type="dxa" w:w="3024"/>
          </w:tcPr>
          <w:p>
            <w:pPr>
              <w:spacing w:line="240" w:lineRule="auto"/>
              <w:jc w:val="center"/>
            </w:pPr>
            <w:r>
              <w:rPr>
                <w:sz w:val="20"/>
              </w:rPr>
            </w:r>
            <w:r>
              <w:rPr>
                <w:rFonts w:ascii="Times New Roman" w:hAnsi="Times New Roman" w:eastAsia="宋体"/>
                <w:b w:val="0"/>
                <w:sz w:val="20"/>
              </w:rPr>
              <w:t>女胎记录／孕妇</w:t>
            </w:r>
          </w:p>
        </w:tc>
        <w:tc>
          <w:tcPr>
            <w:tcW w:type="dxa" w:w="3024"/>
          </w:tcPr>
          <w:p>
            <w:pPr>
              <w:spacing w:line="240" w:lineRule="auto"/>
              <w:jc w:val="center"/>
            </w:pPr>
            <w:r>
              <w:rPr>
                <w:sz w:val="20"/>
              </w:rPr>
            </w:r>
            <w:r>
              <w:rPr>
                <w:rFonts w:ascii="Times New Roman" w:hAnsi="Times New Roman" w:eastAsia="宋体"/>
                <w:b w:val="0"/>
                <w:sz w:val="20"/>
              </w:rPr>
              <w:t>605／147</w:t>
            </w:r>
          </w:p>
        </w:tc>
        <w:tc>
          <w:tcPr>
            <w:tcW w:type="dxa" w:w="3024"/>
          </w:tcPr>
          <w:p>
            <w:pPr>
              <w:spacing w:line="240" w:lineRule="auto"/>
              <w:jc w:val="center"/>
            </w:pPr>
            <w:r>
              <w:rPr>
                <w:sz w:val="20"/>
              </w:rPr>
            </w:r>
            <w:r>
              <w:rPr>
                <w:rFonts w:ascii="Times New Roman" w:hAnsi="Times New Roman" w:eastAsia="宋体"/>
                <w:b w:val="0"/>
                <w:sz w:val="20"/>
              </w:rPr>
              <w:t>稀有标签与主体相关并存</w:t>
            </w:r>
          </w:p>
        </w:tc>
      </w:tr>
      <w:tr>
        <w:tc>
          <w:tcPr>
            <w:tcW w:type="dxa" w:w="3024"/>
          </w:tcPr>
          <w:p>
            <w:pPr>
              <w:spacing w:line="240" w:lineRule="auto"/>
              <w:jc w:val="center"/>
            </w:pPr>
            <w:r>
              <w:rPr>
                <w:sz w:val="20"/>
              </w:rPr>
            </w:r>
            <w:r>
              <w:rPr>
                <w:rFonts w:ascii="Times New Roman" w:hAnsi="Times New Roman" w:eastAsia="宋体"/>
                <w:b w:val="0"/>
                <w:sz w:val="20"/>
              </w:rPr>
              <w:t>男胎每人记录数</w:t>
            </w:r>
          </w:p>
        </w:tc>
        <w:tc>
          <w:tcPr>
            <w:tcW w:type="dxa" w:w="3024"/>
          </w:tcPr>
          <w:p>
            <w:pPr>
              <w:spacing w:line="240" w:lineRule="auto"/>
              <w:jc w:val="center"/>
            </w:pPr>
            <w:r>
              <w:rPr>
                <w:sz w:val="20"/>
              </w:rPr>
            </w:r>
            <w:r>
              <w:rPr>
                <w:rFonts w:ascii="Times New Roman" w:hAnsi="Times New Roman" w:eastAsia="宋体"/>
                <w:b w:val="0"/>
                <w:sz w:val="20"/>
              </w:rPr>
              <w:t>1—8，中位数4</w:t>
            </w:r>
          </w:p>
        </w:tc>
        <w:tc>
          <w:tcPr>
            <w:tcW w:type="dxa" w:w="3024"/>
          </w:tcPr>
          <w:p>
            <w:pPr>
              <w:spacing w:line="240" w:lineRule="auto"/>
              <w:jc w:val="center"/>
            </w:pPr>
            <w:r>
              <w:rPr>
                <w:sz w:val="20"/>
              </w:rPr>
            </w:r>
            <w:r>
              <w:rPr>
                <w:rFonts w:ascii="Times New Roman" w:hAnsi="Times New Roman" w:eastAsia="宋体"/>
                <w:b w:val="0"/>
                <w:sz w:val="20"/>
              </w:rPr>
              <w:t>不能默认独立同分布</w:t>
            </w:r>
          </w:p>
        </w:tc>
      </w:tr>
      <w:tr>
        <w:tc>
          <w:tcPr>
            <w:tcW w:type="dxa" w:w="3024"/>
          </w:tcPr>
          <w:p>
            <w:pPr>
              <w:spacing w:line="240" w:lineRule="auto"/>
              <w:jc w:val="center"/>
            </w:pPr>
            <w:r>
              <w:rPr>
                <w:sz w:val="20"/>
              </w:rPr>
            </w:r>
            <w:r>
              <w:rPr>
                <w:rFonts w:ascii="Times New Roman" w:hAnsi="Times New Roman" w:eastAsia="宋体"/>
                <w:b w:val="0"/>
                <w:sz w:val="20"/>
              </w:rPr>
              <w:t>Y浓度达到4%的记录</w:t>
            </w:r>
          </w:p>
        </w:tc>
        <w:tc>
          <w:tcPr>
            <w:tcW w:type="dxa" w:w="3024"/>
          </w:tcPr>
          <w:p>
            <w:pPr>
              <w:spacing w:line="240" w:lineRule="auto"/>
              <w:jc w:val="center"/>
            </w:pPr>
            <w:r>
              <w:rPr>
                <w:sz w:val="20"/>
              </w:rPr>
            </w:r>
            <w:r>
              <w:rPr>
                <w:rFonts w:ascii="Times New Roman" w:hAnsi="Times New Roman" w:eastAsia="宋体"/>
                <w:b w:val="0"/>
                <w:sz w:val="20"/>
              </w:rPr>
              <w:t>937</w:t>
            </w:r>
          </w:p>
        </w:tc>
        <w:tc>
          <w:tcPr>
            <w:tcW w:type="dxa" w:w="3024"/>
          </w:tcPr>
          <w:p>
            <w:pPr>
              <w:spacing w:line="240" w:lineRule="auto"/>
              <w:jc w:val="center"/>
            </w:pPr>
            <w:r>
              <w:rPr>
                <w:sz w:val="20"/>
              </w:rPr>
            </w:r>
            <w:r>
              <w:rPr>
                <w:rFonts w:ascii="Times New Roman" w:hAnsi="Times New Roman" w:eastAsia="宋体"/>
                <w:b w:val="0"/>
                <w:sz w:val="20"/>
              </w:rPr>
              <w:t>达标记录占多数</w:t>
            </w:r>
          </w:p>
        </w:tc>
      </w:tr>
      <w:tr>
        <w:tc>
          <w:tcPr>
            <w:tcW w:type="dxa" w:w="3024"/>
          </w:tcPr>
          <w:p>
            <w:pPr>
              <w:spacing w:line="240" w:lineRule="auto"/>
              <w:jc w:val="center"/>
            </w:pPr>
            <w:r>
              <w:rPr>
                <w:sz w:val="20"/>
              </w:rPr>
            </w:r>
            <w:r>
              <w:rPr>
                <w:rFonts w:ascii="Times New Roman" w:hAnsi="Times New Roman" w:eastAsia="宋体"/>
                <w:b w:val="0"/>
                <w:sz w:val="20"/>
              </w:rPr>
              <w:t>Y浓度低于4%的记录</w:t>
            </w:r>
          </w:p>
        </w:tc>
        <w:tc>
          <w:tcPr>
            <w:tcW w:type="dxa" w:w="3024"/>
          </w:tcPr>
          <w:p>
            <w:pPr>
              <w:spacing w:line="240" w:lineRule="auto"/>
              <w:jc w:val="center"/>
            </w:pPr>
            <w:r>
              <w:rPr>
                <w:sz w:val="20"/>
              </w:rPr>
            </w:r>
            <w:r>
              <w:rPr>
                <w:rFonts w:ascii="Times New Roman" w:hAnsi="Times New Roman" w:eastAsia="宋体"/>
                <w:b w:val="0"/>
                <w:sz w:val="20"/>
              </w:rPr>
              <w:t>145</w:t>
            </w:r>
          </w:p>
        </w:tc>
        <w:tc>
          <w:tcPr>
            <w:tcW w:type="dxa" w:w="3024"/>
          </w:tcPr>
          <w:p>
            <w:pPr>
              <w:spacing w:line="240" w:lineRule="auto"/>
              <w:jc w:val="center"/>
            </w:pPr>
            <w:r>
              <w:rPr>
                <w:sz w:val="20"/>
              </w:rPr>
            </w:r>
            <w:r>
              <w:rPr>
                <w:rFonts w:ascii="Times New Roman" w:hAnsi="Times New Roman" w:eastAsia="宋体"/>
                <w:b w:val="0"/>
                <w:sz w:val="20"/>
              </w:rPr>
              <w:t>保留为风险信号</w:t>
            </w:r>
          </w:p>
        </w:tc>
      </w:tr>
      <w:tr>
        <w:tc>
          <w:tcPr>
            <w:tcW w:type="dxa" w:w="3024"/>
          </w:tcPr>
          <w:p>
            <w:pPr>
              <w:spacing w:line="240" w:lineRule="auto"/>
              <w:jc w:val="center"/>
            </w:pPr>
            <w:r>
              <w:rPr>
                <w:sz w:val="20"/>
              </w:rPr>
            </w:r>
            <w:r>
              <w:rPr>
                <w:rFonts w:ascii="Times New Roman" w:hAnsi="Times New Roman" w:eastAsia="宋体"/>
                <w:b w:val="0"/>
                <w:sz w:val="20"/>
              </w:rPr>
              <w:t>首次观测已达标的孕妇</w:t>
            </w:r>
          </w:p>
        </w:tc>
        <w:tc>
          <w:tcPr>
            <w:tcW w:type="dxa" w:w="3024"/>
          </w:tcPr>
          <w:p>
            <w:pPr>
              <w:spacing w:line="240" w:lineRule="auto"/>
              <w:jc w:val="center"/>
            </w:pPr>
            <w:r>
              <w:rPr>
                <w:sz w:val="20"/>
              </w:rPr>
            </w:r>
            <w:r>
              <w:rPr>
                <w:rFonts w:ascii="Times New Roman" w:hAnsi="Times New Roman" w:eastAsia="宋体"/>
                <w:b w:val="0"/>
                <w:sz w:val="20"/>
              </w:rPr>
              <w:t>217</w:t>
            </w:r>
          </w:p>
        </w:tc>
        <w:tc>
          <w:tcPr>
            <w:tcW w:type="dxa" w:w="3024"/>
          </w:tcPr>
          <w:p>
            <w:pPr>
              <w:spacing w:line="240" w:lineRule="auto"/>
              <w:jc w:val="center"/>
            </w:pPr>
            <w:r>
              <w:rPr>
                <w:sz w:val="20"/>
              </w:rPr>
            </w:r>
            <w:r>
              <w:rPr>
                <w:rFonts w:ascii="Times New Roman" w:hAnsi="Times New Roman" w:eastAsia="宋体"/>
                <w:b w:val="0"/>
                <w:sz w:val="20"/>
              </w:rPr>
              <w:t>真实首次达标时间左删失</w:t>
            </w:r>
          </w:p>
        </w:tc>
      </w:tr>
      <w:tr>
        <w:tc>
          <w:tcPr>
            <w:tcW w:type="dxa" w:w="3024"/>
          </w:tcPr>
          <w:p>
            <w:pPr>
              <w:spacing w:line="240" w:lineRule="auto"/>
              <w:jc w:val="center"/>
            </w:pPr>
            <w:r>
              <w:rPr>
                <w:sz w:val="20"/>
              </w:rPr>
            </w:r>
            <w:r>
              <w:rPr>
                <w:rFonts w:ascii="Times New Roman" w:hAnsi="Times New Roman" w:eastAsia="宋体"/>
                <w:b w:val="0"/>
                <w:sz w:val="20"/>
              </w:rPr>
              <w:t>随访中观察到由未达标到达标</w:t>
            </w:r>
          </w:p>
        </w:tc>
        <w:tc>
          <w:tcPr>
            <w:tcW w:type="dxa" w:w="3024"/>
          </w:tcPr>
          <w:p>
            <w:pPr>
              <w:spacing w:line="240" w:lineRule="auto"/>
              <w:jc w:val="center"/>
            </w:pPr>
            <w:r>
              <w:rPr>
                <w:sz w:val="20"/>
              </w:rPr>
            </w:r>
            <w:r>
              <w:rPr>
                <w:rFonts w:ascii="Times New Roman" w:hAnsi="Times New Roman" w:eastAsia="宋体"/>
                <w:b w:val="0"/>
                <w:sz w:val="20"/>
              </w:rPr>
              <w:t>43</w:t>
            </w:r>
          </w:p>
        </w:tc>
        <w:tc>
          <w:tcPr>
            <w:tcW w:type="dxa" w:w="3024"/>
          </w:tcPr>
          <w:p>
            <w:pPr>
              <w:spacing w:line="240" w:lineRule="auto"/>
              <w:jc w:val="center"/>
            </w:pPr>
            <w:r>
              <w:rPr>
                <w:sz w:val="20"/>
              </w:rPr>
            </w:r>
            <w:r>
              <w:rPr>
                <w:rFonts w:ascii="Times New Roman" w:hAnsi="Times New Roman" w:eastAsia="宋体"/>
                <w:b w:val="0"/>
                <w:sz w:val="20"/>
              </w:rPr>
              <w:t>事件时间只能定位于区间</w:t>
            </w:r>
          </w:p>
        </w:tc>
      </w:tr>
      <w:tr>
        <w:tc>
          <w:tcPr>
            <w:tcW w:type="dxa" w:w="3024"/>
          </w:tcPr>
          <w:p>
            <w:pPr>
              <w:spacing w:line="240" w:lineRule="auto"/>
              <w:jc w:val="center"/>
            </w:pPr>
            <w:r>
              <w:rPr>
                <w:sz w:val="20"/>
              </w:rPr>
            </w:r>
            <w:r>
              <w:rPr>
                <w:rFonts w:ascii="Times New Roman" w:hAnsi="Times New Roman" w:eastAsia="宋体"/>
                <w:b w:val="0"/>
                <w:sz w:val="20"/>
              </w:rPr>
              <w:t>从未观察到达标</w:t>
            </w:r>
          </w:p>
        </w:tc>
        <w:tc>
          <w:tcPr>
            <w:tcW w:type="dxa" w:w="3024"/>
          </w:tcPr>
          <w:p>
            <w:pPr>
              <w:spacing w:line="240" w:lineRule="auto"/>
              <w:jc w:val="center"/>
            </w:pPr>
            <w:r>
              <w:rPr>
                <w:sz w:val="20"/>
              </w:rPr>
            </w:r>
            <w:r>
              <w:rPr>
                <w:rFonts w:ascii="Times New Roman" w:hAnsi="Times New Roman" w:eastAsia="宋体"/>
                <w:b w:val="0"/>
                <w:sz w:val="20"/>
              </w:rPr>
              <w:t>7</w:t>
            </w:r>
          </w:p>
        </w:tc>
        <w:tc>
          <w:tcPr>
            <w:tcW w:type="dxa" w:w="3024"/>
          </w:tcPr>
          <w:p>
            <w:pPr>
              <w:spacing w:line="240" w:lineRule="auto"/>
              <w:jc w:val="center"/>
            </w:pPr>
            <w:r>
              <w:rPr>
                <w:sz w:val="20"/>
              </w:rPr>
            </w:r>
            <w:r>
              <w:rPr>
                <w:rFonts w:ascii="Times New Roman" w:hAnsi="Times New Roman" w:eastAsia="宋体"/>
                <w:b w:val="0"/>
                <w:sz w:val="20"/>
              </w:rPr>
              <w:t>不能等同于永远不达标</w:t>
            </w:r>
          </w:p>
        </w:tc>
      </w:tr>
      <w:tr>
        <w:tc>
          <w:tcPr>
            <w:tcW w:type="dxa" w:w="3024"/>
          </w:tcPr>
          <w:p>
            <w:pPr>
              <w:spacing w:line="240" w:lineRule="auto"/>
              <w:jc w:val="center"/>
            </w:pPr>
            <w:r>
              <w:rPr>
                <w:sz w:val="20"/>
              </w:rPr>
            </w:r>
            <w:r>
              <w:rPr>
                <w:rFonts w:ascii="Times New Roman" w:hAnsi="Times New Roman" w:eastAsia="宋体"/>
                <w:b w:val="0"/>
                <w:sz w:val="20"/>
              </w:rPr>
              <w:t>出现阈值反转的孕妇</w:t>
            </w:r>
          </w:p>
        </w:tc>
        <w:tc>
          <w:tcPr>
            <w:tcW w:type="dxa" w:w="3024"/>
          </w:tcPr>
          <w:p>
            <w:pPr>
              <w:spacing w:line="240" w:lineRule="auto"/>
              <w:jc w:val="center"/>
            </w:pPr>
            <w:r>
              <w:rPr>
                <w:sz w:val="20"/>
              </w:rPr>
            </w:r>
            <w:r>
              <w:rPr>
                <w:rFonts w:ascii="Times New Roman" w:hAnsi="Times New Roman" w:eastAsia="宋体"/>
                <w:b w:val="0"/>
                <w:sz w:val="20"/>
              </w:rPr>
              <w:t>34</w:t>
            </w:r>
          </w:p>
        </w:tc>
        <w:tc>
          <w:tcPr>
            <w:tcW w:type="dxa" w:w="3024"/>
          </w:tcPr>
          <w:p>
            <w:pPr>
              <w:spacing w:line="240" w:lineRule="auto"/>
              <w:jc w:val="center"/>
            </w:pPr>
            <w:r>
              <w:rPr>
                <w:sz w:val="20"/>
              </w:rPr>
            </w:r>
            <w:r>
              <w:rPr>
                <w:rFonts w:ascii="Times New Roman" w:hAnsi="Times New Roman" w:eastAsia="宋体"/>
                <w:b w:val="0"/>
                <w:sz w:val="20"/>
              </w:rPr>
              <w:t>达标状态不严格单调</w:t>
            </w:r>
          </w:p>
        </w:tc>
      </w:tr>
    </w:tbl>
    <w:p>
      <w:pPr>
        <w:spacing w:before="0" w:after="0" w:line="300" w:lineRule="auto"/>
        <w:jc w:val="center"/>
      </w:pPr>
      <w:r>
        <w:drawing>
          <wp:inline xmlns:a="http://schemas.openxmlformats.org/drawingml/2006/main" xmlns:pic="http://schemas.openxmlformats.org/drawingml/2006/picture">
            <wp:extent cx="5472000" cy="31008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72000" cy="3100800"/>
                    </a:xfrm>
                    <a:prstGeom prst="rect"/>
                  </pic:spPr>
                </pic:pic>
              </a:graphicData>
            </a:graphic>
          </wp:inline>
        </w:drawing>
      </w:r>
    </w:p>
    <w:p>
      <w:pPr>
        <w:spacing w:before="0" w:after="0" w:line="300" w:lineRule="auto"/>
        <w:jc w:val="center"/>
      </w:pPr>
      <w:r>
        <w:rPr>
          <w:rFonts w:ascii="Times New Roman" w:hAnsi="Times New Roman" w:eastAsia="宋体"/>
          <w:b w:val="0"/>
          <w:sz w:val="20"/>
        </w:rPr>
        <w:t>图1 男胎孕妇的重复记录数量分布</w:t>
      </w:r>
    </w:p>
    <w:p>
      <w:pPr>
        <w:spacing w:before="0" w:after="0" w:line="300" w:lineRule="auto"/>
      </w:pPr>
      <w:r>
        <w:rPr>
          <w:rFonts w:ascii="Times New Roman" w:hAnsi="Times New Roman" w:eastAsia="宋体"/>
          <w:b w:val="0"/>
          <w:sz w:val="28"/>
        </w:rPr>
        <w:t>2.2 变量整理与泄漏防范</w:t>
      </w:r>
    </w:p>
    <w:p>
      <w:pPr>
        <w:spacing w:before="0" w:after="0" w:line="264" w:lineRule="auto"/>
        <w:ind w:firstLine="480"/>
      </w:pPr>
      <w:r>
        <w:rPr>
          <w:rFonts w:ascii="Times New Roman" w:hAnsi="Times New Roman" w:eastAsia="宋体"/>
          <w:b w:val="0"/>
          <w:sz w:val="24"/>
        </w:rPr>
        <w:t>孕周统一换算为连续周数，即整数周加天数除以7；优化时再换回“周和天”，避免把小数部分误认为天数。百分比变量统一采用0至1比例尺度，4%对应0.04。BMI与身高、体重的关系用于一致性审查，而不意味着同时把三者无条件放入模型；将高度共线的变量同时加入小样本模型会放大不稳定性。原始附件保留不变，所有派生量由代码生成。</w:t>
      </w:r>
    </w:p>
    <w:p>
      <w:pPr>
        <w:spacing w:before="0" w:after="0" w:line="264" w:lineRule="auto"/>
        <w:ind w:firstLine="480"/>
      </w:pPr>
      <w:r>
        <w:rPr>
          <w:rFonts w:ascii="Times New Roman" w:hAnsi="Times New Roman" w:eastAsia="宋体"/>
          <w:b w:val="0"/>
          <w:sz w:val="24"/>
        </w:rPr>
        <w:t>用于预约决策的特征必须在预约时已知。测序读段、过滤比例和GC含量属于检测后信息，本文不把它们直接作为首次检测时点选择的输入。Q2采用每位孕妇首条记录的BMI作为代理，Q3采用同一基线时点的年龄、身高等变量。这可以避免把后续检测BMI用于更早预约，但不能完全解决真实预约前没有这些数据的问题：如果某人的首条记录晚于推荐时点，所用BMI仅是回顾性代理。该限制必须与分组结果同时解释。</w:t>
      </w:r>
    </w:p>
    <w:p>
      <w:pPr>
        <w:spacing w:before="0" w:after="0" w:line="264" w:lineRule="auto"/>
        <w:ind w:firstLine="480"/>
      </w:pPr>
      <w:r>
        <w:rPr>
          <w:rFonts w:ascii="Times New Roman" w:hAnsi="Times New Roman" w:eastAsia="宋体"/>
          <w:b w:val="0"/>
          <w:sz w:val="24"/>
        </w:rPr>
        <w:t>女胎异常目标取自题面指定的非整倍体标记列。该列空白按题面解释为未标记异常，不擅自改为缺失标签；“胎儿是否健康”在当前女胎数据中没有可用于此任务的类别变化，不作为独立验证金标准。X染色体浓度可能因估计方法出现负值，题面对这一现象已有说明，因此不按比例变量常规规则直接删除。缺失值填补和标准化在训练折内拟合，外层测试折只使用训练得到的变换。</w:t>
      </w:r>
    </w:p>
    <w:p>
      <w:pPr>
        <w:spacing w:before="0" w:after="0" w:line="300" w:lineRule="auto"/>
      </w:pPr>
      <w:r>
        <w:rPr>
          <w:rFonts w:ascii="Times New Roman" w:hAnsi="Times New Roman" w:eastAsia="宋体"/>
          <w:b w:val="0"/>
          <w:sz w:val="28"/>
        </w:rPr>
        <w:t>2.3 必要假设及其可检验边界</w:t>
      </w:r>
    </w:p>
    <w:p>
      <w:pPr>
        <w:spacing w:before="0" w:after="0" w:line="264" w:lineRule="auto"/>
        <w:ind w:firstLine="480"/>
      </w:pPr>
      <w:r>
        <w:rPr>
          <w:rFonts w:ascii="Times New Roman" w:hAnsi="Times New Roman" w:eastAsia="宋体"/>
          <w:b w:val="0"/>
          <w:sz w:val="24"/>
        </w:rPr>
        <w:t>第一，孕妇代码能够正确区分主体，同次抽血识别字段具有足够一致性。若主体代码实际发生混用，分组交叉验证也无法消除泄漏；本文的独立性假设建立在附件标识可靠的前提上。第二，模型以附件检测机制下的观测达标概率为目标，不把未观测孕周的状态当成已知事实。第三，随机截距用正态分布近似持续个体差异；其适用性通过拟合诊断、数值积分精度和外部主体预测检查，而不是只看训练似然。</w:t>
      </w:r>
    </w:p>
    <w:p>
      <w:pPr>
        <w:spacing w:before="0" w:after="0" w:line="264" w:lineRule="auto"/>
        <w:ind w:firstLine="480"/>
      </w:pPr>
      <w:r>
        <w:rPr>
          <w:rFonts w:ascii="Times New Roman" w:hAnsi="Times New Roman" w:eastAsia="宋体"/>
          <w:b w:val="0"/>
          <w:sz w:val="24"/>
        </w:rPr>
        <w:t>第四，风险函数中检测失败损失与延迟损失可以加总；相对权重不是数据估计出的医学常数，而是外部决策情景。第五，BMI分组必须连续，组内采用共同孕周，便于解释和实施，但这种可操作性约束可能牺牲个体化预测收益。第六，误差分析中的追加噪声表示在现有数据上进一步扰动，不能解释为已经从原浓度中消除了测量误差。后文分别展示这些假设对结果的影响，而不把假设本身当成结论。</w:t>
      </w:r>
    </w:p>
    <w:p>
      <w:pPr>
        <w:spacing w:before="0" w:after="0" w:line="264" w:lineRule="auto"/>
        <w:ind w:firstLine="480"/>
      </w:pPr>
      <w:r>
        <w:rPr>
          <w:rFonts w:ascii="Times New Roman" w:hAnsi="Times New Roman" w:eastAsia="宋体"/>
          <w:b w:val="0"/>
          <w:sz w:val="24"/>
        </w:rPr>
        <w:t>表2给出主要符号。下标i表示孕妇，j表示其检测记录；不同问题的模型参数单独估计，不因符号相同而共享数值。</w:t>
      </w:r>
    </w:p>
    <w:p>
      <w:pPr>
        <w:spacing w:before="0" w:after="0" w:line="264" w:lineRule="auto"/>
        <w:ind w:firstLine="480"/>
      </w:pPr>
      <w:r>
        <w:rPr>
          <w:rFonts w:ascii="Times New Roman" w:hAnsi="Times New Roman" w:eastAsia="宋体"/>
          <w:b w:val="0"/>
          <w:sz w:val="24"/>
        </w:rPr>
        <w:t>表2 主要符号及单位</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3024"/>
        <w:gridCol w:w="3024"/>
        <w:gridCol w:w="3024"/>
      </w:tblGrid>
      <w:tr>
        <w:tc>
          <w:tcPr>
            <w:tcW w:type="dxa" w:w="3024"/>
            <w:tcBorders>
              <w:bottom w:val="single" w:sz="4" w:space="0" w:color="000000"/>
            </w:tcBorders>
          </w:tcPr>
          <w:p>
            <w:pPr>
              <w:spacing w:line="240" w:lineRule="auto"/>
              <w:jc w:val="center"/>
            </w:pPr>
            <w:r>
              <w:rPr>
                <w:sz w:val="20"/>
              </w:rPr>
            </w:r>
            <w:r>
              <w:rPr>
                <w:rFonts w:ascii="Times New Roman" w:hAnsi="Times New Roman" w:eastAsia="宋体"/>
                <w:b/>
                <w:sz w:val="20"/>
              </w:rPr>
              <w:t>符号</w:t>
            </w:r>
          </w:p>
        </w:tc>
        <w:tc>
          <w:tcPr>
            <w:tcW w:type="dxa" w:w="3024"/>
            <w:tcBorders>
              <w:bottom w:val="single" w:sz="4" w:space="0" w:color="000000"/>
            </w:tcBorders>
          </w:tcPr>
          <w:p>
            <w:pPr>
              <w:spacing w:line="240" w:lineRule="auto"/>
              <w:jc w:val="center"/>
            </w:pPr>
            <w:r>
              <w:rPr>
                <w:sz w:val="20"/>
              </w:rPr>
            </w:r>
            <w:r>
              <w:rPr>
                <w:rFonts w:ascii="Times New Roman" w:hAnsi="Times New Roman" w:eastAsia="宋体"/>
                <w:b/>
                <w:sz w:val="20"/>
              </w:rPr>
              <w:t>含义</w:t>
            </w:r>
          </w:p>
        </w:tc>
        <w:tc>
          <w:tcPr>
            <w:tcW w:type="dxa" w:w="3024"/>
            <w:tcBorders>
              <w:bottom w:val="single" w:sz="4" w:space="0" w:color="000000"/>
            </w:tcBorders>
          </w:tcPr>
          <w:p>
            <w:pPr>
              <w:spacing w:line="240" w:lineRule="auto"/>
              <w:jc w:val="center"/>
            </w:pPr>
            <w:r>
              <w:rPr>
                <w:sz w:val="20"/>
              </w:rPr>
            </w:r>
            <w:r>
              <w:rPr>
                <w:rFonts w:ascii="Times New Roman" w:hAnsi="Times New Roman" w:eastAsia="宋体"/>
                <w:b/>
                <w:sz w:val="20"/>
              </w:rPr>
              <w:t>单位或范围</w:t>
            </w:r>
          </w:p>
        </w:tc>
      </w:tr>
      <w:tr>
        <w:tc>
          <w:tcPr>
            <w:tcW w:type="dxa" w:w="3024"/>
          </w:tcPr>
          <w:p>
            <w:pPr>
              <w:spacing w:line="240" w:lineRule="auto"/>
              <w:jc w:val="center"/>
            </w:pPr>
            <w:r>
              <w:rPr>
                <w:sz w:val="20"/>
              </w:rPr>
            </w:r>
            <w:r>
              <w:rPr>
                <w:rFonts w:ascii="Times New Roman" w:hAnsi="Times New Roman" w:eastAsia="宋体"/>
                <w:b w:val="0"/>
                <w:sz w:val="20"/>
              </w:rPr>
              <w:t>Yᵢⱼ</w:t>
            </w:r>
          </w:p>
        </w:tc>
        <w:tc>
          <w:tcPr>
            <w:tcW w:type="dxa" w:w="3024"/>
          </w:tcPr>
          <w:p>
            <w:pPr>
              <w:spacing w:line="240" w:lineRule="auto"/>
              <w:jc w:val="center"/>
            </w:pPr>
            <w:r>
              <w:rPr>
                <w:sz w:val="20"/>
              </w:rPr>
            </w:r>
            <w:r>
              <w:rPr>
                <w:rFonts w:ascii="Times New Roman" w:hAnsi="Times New Roman" w:eastAsia="宋体"/>
                <w:b w:val="0"/>
                <w:sz w:val="20"/>
              </w:rPr>
              <w:t>男胎Y染色体浓度</w:t>
            </w:r>
          </w:p>
        </w:tc>
        <w:tc>
          <w:tcPr>
            <w:tcW w:type="dxa" w:w="3024"/>
          </w:tcPr>
          <w:p>
            <w:pPr>
              <w:spacing w:line="240" w:lineRule="auto"/>
              <w:jc w:val="center"/>
            </w:pPr>
            <w:r>
              <w:rPr>
                <w:sz w:val="20"/>
              </w:rPr>
            </w:r>
            <w:r>
              <w:rPr>
                <w:rFonts w:ascii="Times New Roman" w:hAnsi="Times New Roman" w:eastAsia="宋体"/>
                <w:b w:val="0"/>
                <w:sz w:val="20"/>
              </w:rPr>
              <w:t>比例，0至1</w:t>
            </w:r>
          </w:p>
        </w:tc>
      </w:tr>
      <w:tr>
        <w:tc>
          <w:tcPr>
            <w:tcW w:type="dxa" w:w="3024"/>
          </w:tcPr>
          <w:p>
            <w:pPr>
              <w:spacing w:line="240" w:lineRule="auto"/>
              <w:jc w:val="center"/>
            </w:pPr>
            <w:r>
              <w:rPr>
                <w:sz w:val="20"/>
              </w:rPr>
            </w:r>
            <w:r>
              <w:rPr>
                <w:rFonts w:ascii="Times New Roman" w:hAnsi="Times New Roman" w:eastAsia="宋体"/>
                <w:b w:val="0"/>
                <w:sz w:val="20"/>
              </w:rPr>
              <w:t>tᵢⱼ</w:t>
            </w:r>
          </w:p>
        </w:tc>
        <w:tc>
          <w:tcPr>
            <w:tcW w:type="dxa" w:w="3024"/>
          </w:tcPr>
          <w:p>
            <w:pPr>
              <w:spacing w:line="240" w:lineRule="auto"/>
              <w:jc w:val="center"/>
            </w:pPr>
            <w:r>
              <w:rPr>
                <w:sz w:val="20"/>
              </w:rPr>
            </w:r>
            <w:r>
              <w:rPr>
                <w:rFonts w:ascii="Times New Roman" w:hAnsi="Times New Roman" w:eastAsia="宋体"/>
                <w:b w:val="0"/>
                <w:sz w:val="20"/>
              </w:rPr>
              <w:t>检测孕周</w:t>
            </w:r>
          </w:p>
        </w:tc>
        <w:tc>
          <w:tcPr>
            <w:tcW w:type="dxa" w:w="3024"/>
          </w:tcPr>
          <w:p>
            <w:pPr>
              <w:spacing w:line="240" w:lineRule="auto"/>
              <w:jc w:val="center"/>
            </w:pPr>
            <w:r>
              <w:rPr>
                <w:sz w:val="20"/>
              </w:rPr>
            </w:r>
            <w:r>
              <w:rPr>
                <w:rFonts w:ascii="Times New Roman" w:hAnsi="Times New Roman" w:eastAsia="宋体"/>
                <w:b w:val="0"/>
                <w:sz w:val="20"/>
              </w:rPr>
              <w:t>周</w:t>
            </w:r>
          </w:p>
        </w:tc>
      </w:tr>
      <w:tr>
        <w:tc>
          <w:tcPr>
            <w:tcW w:type="dxa" w:w="3024"/>
          </w:tcPr>
          <w:p>
            <w:pPr>
              <w:spacing w:line="240" w:lineRule="auto"/>
              <w:jc w:val="center"/>
            </w:pPr>
            <w:r>
              <w:rPr>
                <w:sz w:val="20"/>
              </w:rPr>
            </w:r>
            <w:r>
              <w:rPr>
                <w:rFonts w:ascii="Times New Roman" w:hAnsi="Times New Roman" w:eastAsia="宋体"/>
                <w:b w:val="0"/>
                <w:sz w:val="20"/>
              </w:rPr>
              <w:t>Bᵢ</w:t>
            </w:r>
          </w:p>
        </w:tc>
        <w:tc>
          <w:tcPr>
            <w:tcW w:type="dxa" w:w="3024"/>
          </w:tcPr>
          <w:p>
            <w:pPr>
              <w:spacing w:line="240" w:lineRule="auto"/>
              <w:jc w:val="center"/>
            </w:pPr>
            <w:r>
              <w:rPr>
                <w:sz w:val="20"/>
              </w:rPr>
            </w:r>
            <w:r>
              <w:rPr>
                <w:rFonts w:ascii="Times New Roman" w:hAnsi="Times New Roman" w:eastAsia="宋体"/>
                <w:b w:val="0"/>
                <w:sz w:val="20"/>
              </w:rPr>
              <w:t>首条记录BMI代理</w:t>
            </w:r>
          </w:p>
        </w:tc>
        <w:tc>
          <w:tcPr>
            <w:tcW w:type="dxa" w:w="3024"/>
          </w:tcPr>
          <w:p>
            <w:pPr>
              <w:spacing w:line="240" w:lineRule="auto"/>
              <w:jc w:val="center"/>
            </w:pPr>
            <w:r>
              <w:rPr>
                <w:sz w:val="20"/>
              </w:rPr>
            </w:r>
            <w:r>
              <w:rPr>
                <w:rFonts w:ascii="Times New Roman" w:hAnsi="Times New Roman" w:eastAsia="宋体"/>
                <w:b w:val="0"/>
                <w:sz w:val="20"/>
              </w:rPr>
              <w:t>kg/m²</w:t>
            </w:r>
          </w:p>
        </w:tc>
      </w:tr>
      <w:tr>
        <w:tc>
          <w:tcPr>
            <w:tcW w:type="dxa" w:w="3024"/>
          </w:tcPr>
          <w:p>
            <w:pPr>
              <w:spacing w:line="240" w:lineRule="auto"/>
              <w:jc w:val="center"/>
            </w:pPr>
            <w:r>
              <w:rPr>
                <w:sz w:val="20"/>
              </w:rPr>
            </w:r>
            <w:r>
              <w:rPr>
                <w:rFonts w:ascii="Times New Roman" w:hAnsi="Times New Roman" w:eastAsia="宋体"/>
                <w:b w:val="0"/>
                <w:sz w:val="20"/>
              </w:rPr>
              <w:t>Aᵢⱼ</w:t>
            </w:r>
          </w:p>
        </w:tc>
        <w:tc>
          <w:tcPr>
            <w:tcW w:type="dxa" w:w="3024"/>
          </w:tcPr>
          <w:p>
            <w:pPr>
              <w:spacing w:line="240" w:lineRule="auto"/>
              <w:jc w:val="center"/>
            </w:pPr>
            <w:r>
              <w:rPr>
                <w:sz w:val="20"/>
              </w:rPr>
            </w:r>
            <w:r>
              <w:rPr>
                <w:rFonts w:ascii="Times New Roman" w:hAnsi="Times New Roman" w:eastAsia="宋体"/>
                <w:b w:val="0"/>
                <w:sz w:val="20"/>
              </w:rPr>
              <w:t>浓度达标指示</w:t>
            </w:r>
          </w:p>
        </w:tc>
        <w:tc>
          <w:tcPr>
            <w:tcW w:type="dxa" w:w="3024"/>
          </w:tcPr>
          <w:p>
            <w:pPr>
              <w:spacing w:line="240" w:lineRule="auto"/>
              <w:jc w:val="center"/>
            </w:pPr>
            <w:r>
              <w:rPr>
                <w:sz w:val="20"/>
              </w:rPr>
            </w:r>
            <w:r>
              <w:rPr>
                <w:rFonts w:ascii="Times New Roman" w:hAnsi="Times New Roman" w:eastAsia="宋体"/>
                <w:b w:val="0"/>
                <w:sz w:val="20"/>
              </w:rPr>
              <w:t>0或1</w:t>
            </w:r>
          </w:p>
        </w:tc>
      </w:tr>
      <w:tr>
        <w:tc>
          <w:tcPr>
            <w:tcW w:type="dxa" w:w="3024"/>
          </w:tcPr>
          <w:p>
            <w:pPr>
              <w:spacing w:line="240" w:lineRule="auto"/>
              <w:jc w:val="center"/>
            </w:pPr>
            <w:r>
              <w:rPr>
                <w:sz w:val="20"/>
              </w:rPr>
            </w:r>
            <w:r>
              <w:rPr>
                <w:rFonts w:ascii="Times New Roman" w:hAnsi="Times New Roman" w:eastAsia="宋体"/>
                <w:b w:val="0"/>
                <w:sz w:val="20"/>
              </w:rPr>
              <w:t>τ</w:t>
            </w:r>
          </w:p>
        </w:tc>
        <w:tc>
          <w:tcPr>
            <w:tcW w:type="dxa" w:w="3024"/>
          </w:tcPr>
          <w:p>
            <w:pPr>
              <w:spacing w:line="240" w:lineRule="auto"/>
              <w:jc w:val="center"/>
            </w:pPr>
            <w:r>
              <w:rPr>
                <w:sz w:val="20"/>
              </w:rPr>
            </w:r>
            <w:r>
              <w:rPr>
                <w:rFonts w:ascii="Times New Roman" w:hAnsi="Times New Roman" w:eastAsia="宋体"/>
                <w:b w:val="0"/>
                <w:sz w:val="20"/>
              </w:rPr>
              <w:t>达标阈值</w:t>
            </w:r>
          </w:p>
        </w:tc>
        <w:tc>
          <w:tcPr>
            <w:tcW w:type="dxa" w:w="3024"/>
          </w:tcPr>
          <w:p>
            <w:pPr>
              <w:spacing w:line="240" w:lineRule="auto"/>
              <w:jc w:val="center"/>
            </w:pPr>
            <w:r>
              <w:rPr>
                <w:sz w:val="20"/>
              </w:rPr>
            </w:r>
            <w:r>
              <w:rPr>
                <w:rFonts w:ascii="Times New Roman" w:hAnsi="Times New Roman" w:eastAsia="宋体"/>
                <w:b w:val="0"/>
                <w:sz w:val="20"/>
              </w:rPr>
              <w:t>主分析0.04</w:t>
            </w:r>
          </w:p>
        </w:tc>
      </w:tr>
      <w:tr>
        <w:tc>
          <w:tcPr>
            <w:tcW w:type="dxa" w:w="3024"/>
          </w:tcPr>
          <w:p>
            <w:pPr>
              <w:spacing w:line="240" w:lineRule="auto"/>
              <w:jc w:val="center"/>
            </w:pPr>
            <w:r>
              <w:rPr>
                <w:sz w:val="20"/>
              </w:rPr>
            </w:r>
            <w:r>
              <w:rPr>
                <w:rFonts w:ascii="Times New Roman" w:hAnsi="Times New Roman" w:eastAsia="宋体"/>
                <w:b w:val="0"/>
                <w:sz w:val="20"/>
              </w:rPr>
              <w:t>bᵢ</w:t>
            </w:r>
          </w:p>
        </w:tc>
        <w:tc>
          <w:tcPr>
            <w:tcW w:type="dxa" w:w="3024"/>
          </w:tcPr>
          <w:p>
            <w:pPr>
              <w:spacing w:line="240" w:lineRule="auto"/>
              <w:jc w:val="center"/>
            </w:pPr>
            <w:r>
              <w:rPr>
                <w:sz w:val="20"/>
              </w:rPr>
            </w:r>
            <w:r>
              <w:rPr>
                <w:rFonts w:ascii="Times New Roman" w:hAnsi="Times New Roman" w:eastAsia="宋体"/>
                <w:b w:val="0"/>
                <w:sz w:val="20"/>
              </w:rPr>
              <w:t>孕妇随机截距</w:t>
            </w:r>
          </w:p>
        </w:tc>
        <w:tc>
          <w:tcPr>
            <w:tcW w:type="dxa" w:w="3024"/>
          </w:tcPr>
          <w:p>
            <w:pPr>
              <w:spacing w:line="240" w:lineRule="auto"/>
              <w:jc w:val="center"/>
            </w:pPr>
            <w:r>
              <w:rPr>
                <w:sz w:val="20"/>
              </w:rPr>
            </w:r>
            <w:r>
              <w:rPr>
                <w:rFonts w:ascii="Times New Roman" w:hAnsi="Times New Roman" w:eastAsia="宋体"/>
                <w:b w:val="0"/>
                <w:sz w:val="20"/>
              </w:rPr>
              <w:t>模型链接尺度</w:t>
            </w:r>
          </w:p>
        </w:tc>
      </w:tr>
      <w:tr>
        <w:tc>
          <w:tcPr>
            <w:tcW w:type="dxa" w:w="3024"/>
          </w:tcPr>
          <w:p>
            <w:pPr>
              <w:spacing w:line="240" w:lineRule="auto"/>
              <w:jc w:val="center"/>
            </w:pPr>
            <w:r>
              <w:rPr>
                <w:sz w:val="20"/>
              </w:rPr>
            </w:r>
            <w:r>
              <w:rPr>
                <w:rFonts w:ascii="Times New Roman" w:hAnsi="Times New Roman" w:eastAsia="宋体"/>
                <w:b w:val="0"/>
                <w:sz w:val="20"/>
              </w:rPr>
              <w:t>pᵢ(t)</w:t>
            </w:r>
          </w:p>
        </w:tc>
        <w:tc>
          <w:tcPr>
            <w:tcW w:type="dxa" w:w="3024"/>
          </w:tcPr>
          <w:p>
            <w:pPr>
              <w:spacing w:line="240" w:lineRule="auto"/>
              <w:jc w:val="center"/>
            </w:pPr>
            <w:r>
              <w:rPr>
                <w:sz w:val="20"/>
              </w:rPr>
            </w:r>
            <w:r>
              <w:rPr>
                <w:rFonts w:ascii="Times New Roman" w:hAnsi="Times New Roman" w:eastAsia="宋体"/>
                <w:b w:val="0"/>
                <w:sz w:val="20"/>
              </w:rPr>
              <w:t>新孕妇在t时达标概率</w:t>
            </w:r>
          </w:p>
        </w:tc>
        <w:tc>
          <w:tcPr>
            <w:tcW w:type="dxa" w:w="3024"/>
          </w:tcPr>
          <w:p>
            <w:pPr>
              <w:spacing w:line="240" w:lineRule="auto"/>
              <w:jc w:val="center"/>
            </w:pPr>
            <w:r>
              <w:rPr>
                <w:sz w:val="20"/>
              </w:rPr>
            </w:r>
            <w:r>
              <w:rPr>
                <w:rFonts w:ascii="Times New Roman" w:hAnsi="Times New Roman" w:eastAsia="宋体"/>
                <w:b w:val="0"/>
                <w:sz w:val="20"/>
              </w:rPr>
              <w:t>0至1</w:t>
            </w:r>
          </w:p>
        </w:tc>
      </w:tr>
      <w:tr>
        <w:tc>
          <w:tcPr>
            <w:tcW w:type="dxa" w:w="3024"/>
          </w:tcPr>
          <w:p>
            <w:pPr>
              <w:spacing w:line="240" w:lineRule="auto"/>
              <w:jc w:val="center"/>
            </w:pPr>
            <w:r>
              <w:rPr>
                <w:sz w:val="20"/>
              </w:rPr>
            </w:r>
            <w:r>
              <w:rPr>
                <w:rFonts w:ascii="Times New Roman" w:hAnsi="Times New Roman" w:eastAsia="宋体"/>
                <w:b w:val="0"/>
                <w:sz w:val="20"/>
              </w:rPr>
              <w:t>λ</w:t>
            </w:r>
          </w:p>
        </w:tc>
        <w:tc>
          <w:tcPr>
            <w:tcW w:type="dxa" w:w="3024"/>
          </w:tcPr>
          <w:p>
            <w:pPr>
              <w:spacing w:line="240" w:lineRule="auto"/>
              <w:jc w:val="center"/>
            </w:pPr>
            <w:r>
              <w:rPr>
                <w:sz w:val="20"/>
              </w:rPr>
            </w:r>
            <w:r>
              <w:rPr>
                <w:rFonts w:ascii="Times New Roman" w:hAnsi="Times New Roman" w:eastAsia="宋体"/>
                <w:b w:val="0"/>
                <w:sz w:val="20"/>
              </w:rPr>
              <w:t>每周延迟代价</w:t>
            </w:r>
          </w:p>
        </w:tc>
        <w:tc>
          <w:tcPr>
            <w:tcW w:type="dxa" w:w="3024"/>
          </w:tcPr>
          <w:p>
            <w:pPr>
              <w:spacing w:line="240" w:lineRule="auto"/>
              <w:jc w:val="center"/>
            </w:pPr>
            <w:r>
              <w:rPr>
                <w:sz w:val="20"/>
              </w:rPr>
            </w:r>
            <w:r>
              <w:rPr>
                <w:rFonts w:ascii="Times New Roman" w:hAnsi="Times New Roman" w:eastAsia="宋体"/>
                <w:b w:val="0"/>
                <w:sz w:val="20"/>
              </w:rPr>
              <w:t>无量纲相对损失／周</w:t>
            </w:r>
          </w:p>
        </w:tc>
      </w:tr>
      <w:tr>
        <w:tc>
          <w:tcPr>
            <w:tcW w:type="dxa" w:w="3024"/>
          </w:tcPr>
          <w:p>
            <w:pPr>
              <w:spacing w:line="240" w:lineRule="auto"/>
              <w:jc w:val="center"/>
            </w:pPr>
            <w:r>
              <w:rPr>
                <w:sz w:val="20"/>
              </w:rPr>
            </w:r>
            <w:r>
              <w:rPr>
                <w:rFonts w:ascii="Times New Roman" w:hAnsi="Times New Roman" w:eastAsia="宋体"/>
                <w:b w:val="0"/>
                <w:sz w:val="20"/>
              </w:rPr>
              <w:t>δ</w:t>
            </w:r>
          </w:p>
        </w:tc>
        <w:tc>
          <w:tcPr>
            <w:tcW w:type="dxa" w:w="3024"/>
          </w:tcPr>
          <w:p>
            <w:pPr>
              <w:spacing w:line="240" w:lineRule="auto"/>
              <w:jc w:val="center"/>
            </w:pPr>
            <w:r>
              <w:rPr>
                <w:sz w:val="20"/>
              </w:rPr>
            </w:r>
            <w:r>
              <w:rPr>
                <w:rFonts w:ascii="Times New Roman" w:hAnsi="Times New Roman" w:eastAsia="宋体"/>
                <w:b w:val="0"/>
                <w:sz w:val="20"/>
              </w:rPr>
              <w:t>13周起附加延迟代价</w:t>
            </w:r>
          </w:p>
        </w:tc>
        <w:tc>
          <w:tcPr>
            <w:tcW w:type="dxa" w:w="3024"/>
          </w:tcPr>
          <w:p>
            <w:pPr>
              <w:spacing w:line="240" w:lineRule="auto"/>
              <w:jc w:val="center"/>
            </w:pPr>
            <w:r>
              <w:rPr>
                <w:sz w:val="20"/>
              </w:rPr>
            </w:r>
            <w:r>
              <w:rPr>
                <w:rFonts w:ascii="Times New Roman" w:hAnsi="Times New Roman" w:eastAsia="宋体"/>
                <w:b w:val="0"/>
                <w:sz w:val="20"/>
              </w:rPr>
              <w:t>无量纲相对损失</w:t>
            </w:r>
          </w:p>
        </w:tc>
      </w:tr>
      <w:tr>
        <w:tc>
          <w:tcPr>
            <w:tcW w:type="dxa" w:w="3024"/>
          </w:tcPr>
          <w:p>
            <w:pPr>
              <w:spacing w:line="240" w:lineRule="auto"/>
              <w:jc w:val="center"/>
            </w:pPr>
            <w:r>
              <w:rPr>
                <w:sz w:val="20"/>
              </w:rPr>
            </w:r>
            <w:r>
              <w:rPr>
                <w:rFonts w:ascii="Times New Roman" w:hAnsi="Times New Roman" w:eastAsia="宋体"/>
                <w:b w:val="0"/>
                <w:sz w:val="20"/>
              </w:rPr>
              <w:t>C(a,b)</w:t>
            </w:r>
          </w:p>
        </w:tc>
        <w:tc>
          <w:tcPr>
            <w:tcW w:type="dxa" w:w="3024"/>
          </w:tcPr>
          <w:p>
            <w:pPr>
              <w:spacing w:line="240" w:lineRule="auto"/>
              <w:jc w:val="center"/>
            </w:pPr>
            <w:r>
              <w:rPr>
                <w:sz w:val="20"/>
              </w:rPr>
            </w:r>
            <w:r>
              <w:rPr>
                <w:rFonts w:ascii="Times New Roman" w:hAnsi="Times New Roman" w:eastAsia="宋体"/>
                <w:b w:val="0"/>
                <w:sz w:val="20"/>
              </w:rPr>
              <w:t>排序后a至b号主体的最小组风险</w:t>
            </w:r>
          </w:p>
        </w:tc>
        <w:tc>
          <w:tcPr>
            <w:tcW w:type="dxa" w:w="3024"/>
          </w:tcPr>
          <w:p>
            <w:pPr>
              <w:spacing w:line="240" w:lineRule="auto"/>
              <w:jc w:val="center"/>
            </w:pPr>
            <w:r>
              <w:rPr>
                <w:sz w:val="20"/>
              </w:rPr>
            </w:r>
            <w:r>
              <w:rPr>
                <w:rFonts w:ascii="Times New Roman" w:hAnsi="Times New Roman" w:eastAsia="宋体"/>
                <w:b w:val="0"/>
                <w:sz w:val="20"/>
              </w:rPr>
              <w:t>累积相对损失</w:t>
            </w:r>
          </w:p>
        </w:tc>
      </w:tr>
    </w:tbl>
    <w:p>
      <w:pPr>
        <w:pageBreakBefore w:val="0"/>
        <w:spacing w:before="0" w:after="0" w:line="300" w:lineRule="auto"/>
        <w:jc w:val="center"/>
      </w:pPr>
      <w:r>
        <w:rPr>
          <w:rFonts w:ascii="Times New Roman" w:hAnsi="Times New Roman" w:eastAsia="宋体"/>
          <w:b/>
          <w:sz w:val="32"/>
        </w:rPr>
        <w:t>3 问题一：Y浓度关联分析</w:t>
      </w:r>
    </w:p>
    <w:p>
      <w:pPr>
        <w:spacing w:before="0" w:after="0" w:line="300" w:lineRule="auto"/>
      </w:pPr>
      <w:r>
        <w:rPr>
          <w:rFonts w:ascii="Times New Roman" w:hAnsi="Times New Roman" w:eastAsia="宋体"/>
          <w:b w:val="0"/>
          <w:sz w:val="28"/>
        </w:rPr>
        <w:t>3.1 随机截距模型</w:t>
      </w:r>
    </w:p>
    <w:p>
      <w:pPr>
        <w:spacing w:before="0" w:after="0" w:line="264" w:lineRule="auto"/>
        <w:ind w:firstLine="480"/>
      </w:pPr>
      <w:r>
        <w:rPr>
          <w:rFonts w:ascii="Times New Roman" w:hAnsi="Times New Roman" w:eastAsia="宋体"/>
          <w:b w:val="0"/>
          <w:sz w:val="24"/>
        </w:rPr>
        <w:t>直接对原比例响应进行无约束线性拟合可能产生范围外预测，并难以稳定刻画异方差。本文先对Y浓度作logit变换，再建立孕周、BMI及交互项的随机截距模型。所有使用该变换的观测均处于0与1之间，不需要人为截断。孕周和BMI分别按拟合样本均值中心化，模型写为式（1）。</w:t>
      </w:r>
    </w:p>
    <w:p>
      <w:pPr>
        <w:spacing w:before="0" w:after="0" w:line="300" w:lineRule="auto"/>
        <w:jc w:val="center"/>
      </w:pPr>
      <m:oMathPara>
        <m:oMath>
          <m:sSub>
            <m:e>
              <m:r>
                <m:t>z</m:t>
              </m:r>
            </m:e>
            <m:sub>
              <m:r>
                <m:t>ij</m:t>
              </m:r>
            </m:sub>
          </m:sSub>
          <m:r>
            <m:t>=</m:t>
          </m:r>
          <m:r>
            <m:t>log</m:t>
          </m:r>
          <m:f>
            <m:num>
              <m:sSub>
                <m:e>
                  <m:r>
                    <m:t>Y</m:t>
                  </m:r>
                </m:e>
                <m:sub>
                  <m:r>
                    <m:t>ij</m:t>
                  </m:r>
                </m:sub>
              </m:sSub>
            </m:num>
            <m:den>
              <m:sSub>
                <m:e>
                  <m:r>
                    <m:t>1-Y</m:t>
                  </m:r>
                </m:e>
                <m:sub>
                  <m:r>
                    <m:t>ij</m:t>
                  </m:r>
                </m:sub>
              </m:sSub>
            </m:den>
          </m:f>
          <m:r>
            <m:t>=</m:t>
          </m:r>
          <m:sSub>
            <m:e>
              <m:r>
                <m:t>β</m:t>
              </m:r>
            </m:e>
            <m:sub>
              <m:r>
                <m:t>0</m:t>
              </m:r>
            </m:sub>
          </m:sSub>
          <m:r>
            <m:t>+</m:t>
          </m:r>
          <m:sSub>
            <m:e>
              <m:r>
                <m:t>β</m:t>
              </m:r>
            </m:e>
            <m:sub>
              <m:r>
                <m:t>t</m:t>
              </m:r>
            </m:sub>
          </m:sSub>
          <m:sSub>
            <m:e>
              <m:r>
                <m:t>(t</m:t>
              </m:r>
            </m:e>
            <m:sub>
              <m:r>
                <m:t>ij</m:t>
              </m:r>
            </m:sub>
          </m:sSub>
          <m:r>
            <m:t>-</m:t>
          </m:r>
          <m:acc>
            <m:accPr>
              <m:chr m:val="̅"/>
            </m:accPr>
            <m:e>
              <m:r>
                <m:t>t</m:t>
              </m:r>
            </m:e>
          </m:acc>
          <m:r>
            <m:t>)+</m:t>
          </m:r>
          <m:sSub>
            <m:e>
              <m:r>
                <m:t>β</m:t>
              </m:r>
            </m:e>
            <m:sub>
              <m:r>
                <m:t>B</m:t>
              </m:r>
            </m:sub>
          </m:sSub>
          <m:sSub>
            <m:e>
              <m:r>
                <m:t>(B</m:t>
              </m:r>
            </m:e>
            <m:sub>
              <m:r>
                <m:t>ij</m:t>
              </m:r>
            </m:sub>
          </m:sSub>
          <m:r>
            <m:t>-</m:t>
          </m:r>
          <m:acc>
            <m:accPr>
              <m:chr m:val="̅"/>
            </m:accPr>
            <m:e>
              <m:r>
                <m:t>B</m:t>
              </m:r>
            </m:e>
          </m:acc>
          <m:r>
            <m:t>)+</m:t>
          </m:r>
          <m:sSub>
            <m:e>
              <m:r>
                <m:t>β</m:t>
              </m:r>
            </m:e>
            <m:sub>
              <m:r>
                <m:t>tB</m:t>
              </m:r>
            </m:sub>
          </m:sSub>
          <m:sSub>
            <m:e>
              <m:r>
                <m:t>(t</m:t>
              </m:r>
            </m:e>
            <m:sub>
              <m:r>
                <m:t>ij</m:t>
              </m:r>
            </m:sub>
          </m:sSub>
          <m:r>
            <m:t>-</m:t>
          </m:r>
          <m:acc>
            <m:accPr>
              <m:chr m:val="̅"/>
            </m:accPr>
            <m:e>
              <m:r>
                <m:t>t</m:t>
              </m:r>
            </m:e>
          </m:acc>
          <m:sSub>
            <m:e>
              <m:r>
                <m:t>)(B</m:t>
              </m:r>
            </m:e>
            <m:sub>
              <m:r>
                <m:t>ij</m:t>
              </m:r>
            </m:sub>
          </m:sSub>
          <m:r>
            <m:t>-</m:t>
          </m:r>
          <m:acc>
            <m:accPr>
              <m:chr m:val="̅"/>
            </m:accPr>
            <m:e>
              <m:r>
                <m:t>B</m:t>
              </m:r>
            </m:e>
          </m:acc>
          <m:sSub>
            <m:e>
              <m:r>
                <m:t>)+b</m:t>
              </m:r>
            </m:e>
            <m:sub>
              <m:r>
                <m:t>i</m:t>
              </m:r>
            </m:sub>
          </m:sSub>
          <m:r>
            <m:t>+</m:t>
          </m:r>
          <m:sSub>
            <m:e>
              <m:r>
                <m:t>ε</m:t>
              </m:r>
            </m:e>
            <m:sub>
              <m:r>
                <m:t>ij</m:t>
              </m:r>
            </m:sub>
          </m:sSub>
          <m:r>
            <m:t xml:space="preserve"> </m:t>
          </m:r>
          <m:r>
            <m:t xml:space="preserve">  </m:t>
          </m:r>
          <m:r>
            <m:t xml:space="preserve"> (1)</m:t>
          </m:r>
        </m:oMath>
      </m:oMathPara>
    </w:p>
    <w:p>
      <w:pPr>
        <w:spacing w:before="0" w:after="0" w:line="264" w:lineRule="auto"/>
        <w:ind w:firstLine="480"/>
      </w:pPr>
      <w:r>
        <w:rPr>
          <w:rFonts w:ascii="Times New Roman" w:hAnsi="Times New Roman" w:eastAsia="宋体"/>
          <w:b w:val="0"/>
          <w:sz w:val="24"/>
        </w:rPr>
        <w:t>其中bᵢ表示该孕妇持续存在的浓度水平偏移，残差表示给定固定效应与随机效应后的记录波动。设随机截距方差为σᵦ²、残差方差为σₑ²，则同一孕妇两条记录的模型相关程度可用式（2）表示。它反映当前模型下的方差结构，不是某个生物过程的因果贡献比例。</w:t>
      </w:r>
    </w:p>
    <w:p>
      <w:pPr>
        <w:spacing w:before="0" w:after="0" w:line="300" w:lineRule="auto"/>
        <w:jc w:val="center"/>
      </w:pPr>
      <m:oMathPara>
        <m:oMath>
          <m:r>
            <m:t>ρ</m:t>
          </m:r>
          <m:r>
            <m:t>=</m:t>
          </m:r>
          <m:f>
            <m:num>
              <m:sSubSup>
                <m:e>
                  <m:r>
                    <m:t>σ</m:t>
                  </m:r>
                </m:e>
                <m:sub>
                  <m:r>
                    <m:t>b</m:t>
                  </m:r>
                </m:sub>
                <m:sup>
                  <m:r>
                    <m:t>2</m:t>
                  </m:r>
                </m:sup>
              </m:sSubSup>
            </m:num>
            <m:den>
              <m:sSubSup>
                <m:e>
                  <m:r>
                    <m:t>σ</m:t>
                  </m:r>
                </m:e>
                <m:sub>
                  <m:r>
                    <m:t>b</m:t>
                  </m:r>
                </m:sub>
                <m:sup>
                  <m:r>
                    <m:t>2</m:t>
                  </m:r>
                </m:sup>
              </m:sSubSup>
              <m:r>
                <m:t>+</m:t>
              </m:r>
              <m:sSubSup>
                <m:e>
                  <m:r>
                    <m:t>σ</m:t>
                  </m:r>
                </m:e>
                <m:sub>
                  <m:r>
                    <m:t>e</m:t>
                  </m:r>
                </m:sub>
                <m:sup>
                  <m:r>
                    <m:t>2</m:t>
                  </m:r>
                </m:sup>
              </m:sSubSup>
            </m:den>
          </m:f>
          <m:r>
            <m:t xml:space="preserve"> </m:t>
          </m:r>
          <m:r>
            <m:t xml:space="preserve">  </m:t>
          </m:r>
          <m:r>
            <m:t xml:space="preserve"> (2)</m:t>
          </m:r>
        </m:oMath>
      </m:oMathPara>
    </w:p>
    <w:p>
      <w:pPr>
        <w:spacing w:before="0" w:after="0" w:line="264" w:lineRule="auto"/>
        <w:ind w:firstLine="480"/>
      </w:pPr>
      <w:r>
        <w:rPr>
          <w:rFonts w:ascii="Times New Roman" w:hAnsi="Times New Roman" w:eastAsia="宋体"/>
          <w:b w:val="0"/>
          <w:sz w:val="24"/>
        </w:rPr>
        <w:t>与普通最小二乘相比，随机截距使重复记录不再被当作完全独立的误差来源。需要注意，随机效应并不自动消除所有混杂：孕周和BMI随时间的变化、未记录的个体因素及选择性随访仍可能影响系数解释。因此本文将其称为关联模型，不称为因果模型。</w:t>
      </w:r>
    </w:p>
    <w:p>
      <w:pPr>
        <w:spacing w:before="0" w:after="0" w:line="300" w:lineRule="auto"/>
      </w:pPr>
      <w:r>
        <w:rPr>
          <w:rFonts w:ascii="Times New Roman" w:hAnsi="Times New Roman" w:eastAsia="宋体"/>
          <w:b w:val="0"/>
          <w:sz w:val="28"/>
        </w:rPr>
        <w:t>3.2 系数、方向和显著性</w:t>
      </w:r>
    </w:p>
    <w:p>
      <w:pPr>
        <w:spacing w:before="0" w:after="0" w:line="264" w:lineRule="auto"/>
        <w:ind w:firstLine="480"/>
      </w:pPr>
      <w:r>
        <w:rPr>
          <w:rFonts w:ascii="Times New Roman" w:hAnsi="Times New Roman" w:eastAsia="宋体"/>
          <w:b w:val="0"/>
          <w:sz w:val="24"/>
        </w:rPr>
        <w:t>表3给出完整样本估计。孕周主效应为0.04701，95%区间为0.04214至0.05187；BMI主效应为−0.02446，区间为−0.04018至−0.00874。在其他项按模型定义固定时，前者对应logit浓度随孕周增加，后者对应BMI较高与浓度较低相关。两者的统计证据均达到常用显著性水平。交互项估计为0.00120，但区间跨零，不能将其解释为已经证实的BMI调节机制。</w:t>
      </w:r>
    </w:p>
    <w:p>
      <w:pPr>
        <w:spacing w:before="0" w:after="0" w:line="264" w:lineRule="auto"/>
        <w:ind w:firstLine="480"/>
      </w:pPr>
      <w:r>
        <w:rPr>
          <w:rFonts w:ascii="Times New Roman" w:hAnsi="Times New Roman" w:eastAsia="宋体"/>
          <w:b w:val="0"/>
          <w:sz w:val="24"/>
        </w:rPr>
        <w:t>表3 Y浓度混合模型的固定效应估计</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268"/>
        <w:gridCol w:w="2268"/>
        <w:gridCol w:w="2268"/>
        <w:gridCol w:w="2268"/>
      </w:tblGrid>
      <w:tr>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项</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系数</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95%区间</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p值</w:t>
            </w:r>
          </w:p>
        </w:tc>
      </w:tr>
      <w:tr>
        <w:tc>
          <w:tcPr>
            <w:tcW w:type="dxa" w:w="2268"/>
          </w:tcPr>
          <w:p>
            <w:pPr>
              <w:spacing w:line="240" w:lineRule="auto"/>
              <w:jc w:val="center"/>
            </w:pPr>
            <w:r>
              <w:rPr>
                <w:sz w:val="20"/>
              </w:rPr>
            </w:r>
            <w:r>
              <w:rPr>
                <w:rFonts w:ascii="Times New Roman" w:hAnsi="Times New Roman" w:eastAsia="宋体"/>
                <w:b w:val="0"/>
                <w:sz w:val="20"/>
              </w:rPr>
              <w:t>截距</w:t>
            </w:r>
          </w:p>
        </w:tc>
        <w:tc>
          <w:tcPr>
            <w:tcW w:type="dxa" w:w="2268"/>
          </w:tcPr>
          <w:p>
            <w:pPr>
              <w:spacing w:line="240" w:lineRule="auto"/>
              <w:jc w:val="center"/>
            </w:pPr>
            <w:r>
              <w:rPr>
                <w:sz w:val="20"/>
              </w:rPr>
            </w:r>
            <w:r>
              <w:rPr>
                <w:rFonts w:ascii="Times New Roman" w:hAnsi="Times New Roman" w:eastAsia="宋体"/>
                <w:b w:val="0"/>
                <w:sz w:val="20"/>
              </w:rPr>
              <w:t>−2.57364</w:t>
            </w:r>
          </w:p>
        </w:tc>
        <w:tc>
          <w:tcPr>
            <w:tcW w:type="dxa" w:w="2268"/>
          </w:tcPr>
          <w:p>
            <w:pPr>
              <w:spacing w:line="240" w:lineRule="auto"/>
              <w:jc w:val="center"/>
            </w:pPr>
            <w:r>
              <w:rPr>
                <w:sz w:val="20"/>
              </w:rPr>
            </w:r>
            <w:r>
              <w:rPr>
                <w:rFonts w:ascii="Times New Roman" w:hAnsi="Times New Roman" w:eastAsia="宋体"/>
                <w:b w:val="0"/>
                <w:sz w:val="20"/>
              </w:rPr>
              <w:t>[−2.62810, −2.51918]</w:t>
            </w:r>
          </w:p>
        </w:tc>
        <w:tc>
          <w:tcPr>
            <w:tcW w:type="dxa" w:w="2268"/>
          </w:tcPr>
          <w:p>
            <w:pPr>
              <w:spacing w:line="240" w:lineRule="auto"/>
              <w:jc w:val="center"/>
            </w:pPr>
            <w:r>
              <w:rPr>
                <w:sz w:val="20"/>
              </w:rPr>
            </w:r>
            <w:r>
              <w:rPr>
                <w:rFonts w:ascii="Times New Roman" w:hAnsi="Times New Roman" w:eastAsia="宋体"/>
                <w:b w:val="0"/>
                <w:sz w:val="20"/>
              </w:rPr>
              <w:t>—</w:t>
            </w:r>
          </w:p>
        </w:tc>
      </w:tr>
      <w:tr>
        <w:tc>
          <w:tcPr>
            <w:tcW w:type="dxa" w:w="2268"/>
          </w:tcPr>
          <w:p>
            <w:pPr>
              <w:spacing w:line="240" w:lineRule="auto"/>
              <w:jc w:val="center"/>
            </w:pPr>
            <w:r>
              <w:rPr>
                <w:sz w:val="20"/>
              </w:rPr>
            </w:r>
            <w:r>
              <w:rPr>
                <w:rFonts w:ascii="Times New Roman" w:hAnsi="Times New Roman" w:eastAsia="宋体"/>
                <w:b w:val="0"/>
                <w:sz w:val="20"/>
              </w:rPr>
              <w:t>中心化孕周</w:t>
            </w:r>
          </w:p>
        </w:tc>
        <w:tc>
          <w:tcPr>
            <w:tcW w:type="dxa" w:w="2268"/>
          </w:tcPr>
          <w:p>
            <w:pPr>
              <w:spacing w:line="240" w:lineRule="auto"/>
              <w:jc w:val="center"/>
            </w:pPr>
            <w:r>
              <w:rPr>
                <w:sz w:val="20"/>
              </w:rPr>
            </w:r>
            <w:r>
              <w:rPr>
                <w:rFonts w:ascii="Times New Roman" w:hAnsi="Times New Roman" w:eastAsia="宋体"/>
                <w:b w:val="0"/>
                <w:sz w:val="20"/>
              </w:rPr>
              <w:t>0.04701</w:t>
            </w:r>
          </w:p>
        </w:tc>
        <w:tc>
          <w:tcPr>
            <w:tcW w:type="dxa" w:w="2268"/>
          </w:tcPr>
          <w:p>
            <w:pPr>
              <w:spacing w:line="240" w:lineRule="auto"/>
              <w:jc w:val="center"/>
            </w:pPr>
            <w:r>
              <w:rPr>
                <w:sz w:val="20"/>
              </w:rPr>
            </w:r>
            <w:r>
              <w:rPr>
                <w:rFonts w:ascii="Times New Roman" w:hAnsi="Times New Roman" w:eastAsia="宋体"/>
                <w:b w:val="0"/>
                <w:sz w:val="20"/>
              </w:rPr>
              <w:t>[0.04214, 0.05187]</w:t>
            </w:r>
          </w:p>
        </w:tc>
        <w:tc>
          <w:tcPr>
            <w:tcW w:type="dxa" w:w="2268"/>
          </w:tcPr>
          <w:p>
            <w:pPr>
              <w:spacing w:line="240" w:lineRule="auto"/>
              <w:jc w:val="center"/>
            </w:pPr>
            <w:r>
              <w:rPr>
                <w:sz w:val="20"/>
              </w:rPr>
            </w:r>
            <w:r>
              <w:rPr>
                <w:rFonts w:ascii="Times New Roman" w:hAnsi="Times New Roman" w:eastAsia="宋体"/>
                <w:b w:val="0"/>
                <w:sz w:val="20"/>
              </w:rPr>
              <w:t>4.57×10⁻⁸⁰</w:t>
            </w:r>
          </w:p>
        </w:tc>
      </w:tr>
      <w:tr>
        <w:tc>
          <w:tcPr>
            <w:tcW w:type="dxa" w:w="2268"/>
          </w:tcPr>
          <w:p>
            <w:pPr>
              <w:spacing w:line="240" w:lineRule="auto"/>
              <w:jc w:val="center"/>
            </w:pPr>
            <w:r>
              <w:rPr>
                <w:sz w:val="20"/>
              </w:rPr>
            </w:r>
            <w:r>
              <w:rPr>
                <w:rFonts w:ascii="Times New Roman" w:hAnsi="Times New Roman" w:eastAsia="宋体"/>
                <w:b w:val="0"/>
                <w:sz w:val="20"/>
              </w:rPr>
              <w:t>中心化BMI</w:t>
            </w:r>
          </w:p>
        </w:tc>
        <w:tc>
          <w:tcPr>
            <w:tcW w:type="dxa" w:w="2268"/>
          </w:tcPr>
          <w:p>
            <w:pPr>
              <w:spacing w:line="240" w:lineRule="auto"/>
              <w:jc w:val="center"/>
            </w:pPr>
            <w:r>
              <w:rPr>
                <w:sz w:val="20"/>
              </w:rPr>
            </w:r>
            <w:r>
              <w:rPr>
                <w:rFonts w:ascii="Times New Roman" w:hAnsi="Times New Roman" w:eastAsia="宋体"/>
                <w:b w:val="0"/>
                <w:sz w:val="20"/>
              </w:rPr>
              <w:t>−0.02446</w:t>
            </w:r>
          </w:p>
        </w:tc>
        <w:tc>
          <w:tcPr>
            <w:tcW w:type="dxa" w:w="2268"/>
          </w:tcPr>
          <w:p>
            <w:pPr>
              <w:spacing w:line="240" w:lineRule="auto"/>
              <w:jc w:val="center"/>
            </w:pPr>
            <w:r>
              <w:rPr>
                <w:sz w:val="20"/>
              </w:rPr>
            </w:r>
            <w:r>
              <w:rPr>
                <w:rFonts w:ascii="Times New Roman" w:hAnsi="Times New Roman" w:eastAsia="宋体"/>
                <w:b w:val="0"/>
                <w:sz w:val="20"/>
              </w:rPr>
              <w:t>[−0.04018, −0.00874]</w:t>
            </w:r>
          </w:p>
        </w:tc>
        <w:tc>
          <w:tcPr>
            <w:tcW w:type="dxa" w:w="2268"/>
          </w:tcPr>
          <w:p>
            <w:pPr>
              <w:spacing w:line="240" w:lineRule="auto"/>
              <w:jc w:val="center"/>
            </w:pPr>
            <w:r>
              <w:rPr>
                <w:sz w:val="20"/>
              </w:rPr>
            </w:r>
            <w:r>
              <w:rPr>
                <w:rFonts w:ascii="Times New Roman" w:hAnsi="Times New Roman" w:eastAsia="宋体"/>
                <w:b w:val="0"/>
                <w:sz w:val="20"/>
              </w:rPr>
              <w:t>0.00229</w:t>
            </w:r>
          </w:p>
        </w:tc>
      </w:tr>
      <w:tr>
        <w:tc>
          <w:tcPr>
            <w:tcW w:type="dxa" w:w="2268"/>
          </w:tcPr>
          <w:p>
            <w:pPr>
              <w:spacing w:line="240" w:lineRule="auto"/>
              <w:jc w:val="center"/>
            </w:pPr>
            <w:r>
              <w:rPr>
                <w:sz w:val="20"/>
              </w:rPr>
            </w:r>
            <w:r>
              <w:rPr>
                <w:rFonts w:ascii="Times New Roman" w:hAnsi="Times New Roman" w:eastAsia="宋体"/>
                <w:b w:val="0"/>
                <w:sz w:val="20"/>
              </w:rPr>
              <w:t>孕周×BMI</w:t>
            </w:r>
          </w:p>
        </w:tc>
        <w:tc>
          <w:tcPr>
            <w:tcW w:type="dxa" w:w="2268"/>
          </w:tcPr>
          <w:p>
            <w:pPr>
              <w:spacing w:line="240" w:lineRule="auto"/>
              <w:jc w:val="center"/>
            </w:pPr>
            <w:r>
              <w:rPr>
                <w:sz w:val="20"/>
              </w:rPr>
            </w:r>
            <w:r>
              <w:rPr>
                <w:rFonts w:ascii="Times New Roman" w:hAnsi="Times New Roman" w:eastAsia="宋体"/>
                <w:b w:val="0"/>
                <w:sz w:val="20"/>
              </w:rPr>
              <w:t>0.00120</w:t>
            </w:r>
          </w:p>
        </w:tc>
        <w:tc>
          <w:tcPr>
            <w:tcW w:type="dxa" w:w="2268"/>
          </w:tcPr>
          <w:p>
            <w:pPr>
              <w:spacing w:line="240" w:lineRule="auto"/>
              <w:jc w:val="center"/>
            </w:pPr>
            <w:r>
              <w:rPr>
                <w:sz w:val="20"/>
              </w:rPr>
            </w:r>
            <w:r>
              <w:rPr>
                <w:rFonts w:ascii="Times New Roman" w:hAnsi="Times New Roman" w:eastAsia="宋体"/>
                <w:b w:val="0"/>
                <w:sz w:val="20"/>
              </w:rPr>
              <w:t>[−0.00022, 0.00262]</w:t>
            </w:r>
          </w:p>
        </w:tc>
        <w:tc>
          <w:tcPr>
            <w:tcW w:type="dxa" w:w="2268"/>
          </w:tcPr>
          <w:p>
            <w:pPr>
              <w:spacing w:line="240" w:lineRule="auto"/>
              <w:jc w:val="center"/>
            </w:pPr>
            <w:r>
              <w:rPr>
                <w:sz w:val="20"/>
              </w:rPr>
            </w:r>
            <w:r>
              <w:rPr>
                <w:rFonts w:ascii="Times New Roman" w:hAnsi="Times New Roman" w:eastAsia="宋体"/>
                <w:b w:val="0"/>
                <w:sz w:val="20"/>
              </w:rPr>
              <w:t>0.09680</w:t>
            </w:r>
          </w:p>
        </w:tc>
      </w:tr>
    </w:tbl>
    <w:p>
      <w:pPr>
        <w:spacing w:before="0" w:after="0" w:line="264" w:lineRule="auto"/>
        <w:ind w:firstLine="480"/>
      </w:pPr>
      <w:r>
        <w:rPr>
          <w:rFonts w:ascii="Times New Roman" w:hAnsi="Times New Roman" w:eastAsia="宋体"/>
          <w:b w:val="0"/>
          <w:sz w:val="24"/>
        </w:rPr>
        <w:t>模型组内相关系数为0.7283，表明未由固定效应解释的持续个体差异占有较大比例。图2给出固定其余变量时的孕周关联曲线，图3给出BMI关联曲线。曲线用于解释方向和非线性对照，不能当作每位孕妇的必然轨迹；反变换后的固定效应曲线也不等同于对随机效应积分后的浓度算术均值。</w:t>
      </w:r>
    </w:p>
    <w:p>
      <w:pPr>
        <w:spacing w:before="0" w:after="0" w:line="300" w:lineRule="auto"/>
        <w:jc w:val="center"/>
      </w:pPr>
      <w:r>
        <w:drawing>
          <wp:inline xmlns:a="http://schemas.openxmlformats.org/drawingml/2006/main" xmlns:pic="http://schemas.openxmlformats.org/drawingml/2006/picture">
            <wp:extent cx="5472000" cy="3300571"/>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72000" cy="3300571"/>
                    </a:xfrm>
                    <a:prstGeom prst="rect"/>
                  </pic:spPr>
                </pic:pic>
              </a:graphicData>
            </a:graphic>
          </wp:inline>
        </w:drawing>
      </w:r>
    </w:p>
    <w:p>
      <w:pPr>
        <w:spacing w:before="0" w:after="0" w:line="300" w:lineRule="auto"/>
        <w:jc w:val="center"/>
      </w:pPr>
      <w:r>
        <w:rPr>
          <w:rFonts w:ascii="Times New Roman" w:hAnsi="Times New Roman" w:eastAsia="宋体"/>
          <w:b w:val="0"/>
          <w:sz w:val="20"/>
        </w:rPr>
        <w:t>图2 孕周与Y浓度的模型关联曲线</w:t>
      </w:r>
    </w:p>
    <w:p>
      <w:pPr>
        <w:spacing w:before="0" w:after="0" w:line="300" w:lineRule="auto"/>
        <w:jc w:val="center"/>
      </w:pPr>
      <w:r>
        <w:drawing>
          <wp:inline xmlns:a="http://schemas.openxmlformats.org/drawingml/2006/main" xmlns:pic="http://schemas.openxmlformats.org/drawingml/2006/picture">
            <wp:extent cx="5472000" cy="3300571"/>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72000" cy="3300571"/>
                    </a:xfrm>
                    <a:prstGeom prst="rect"/>
                  </pic:spPr>
                </pic:pic>
              </a:graphicData>
            </a:graphic>
          </wp:inline>
        </w:drawing>
      </w:r>
    </w:p>
    <w:p>
      <w:pPr>
        <w:spacing w:before="0" w:after="0" w:line="300" w:lineRule="auto"/>
        <w:jc w:val="center"/>
      </w:pPr>
      <w:r>
        <w:rPr>
          <w:rFonts w:ascii="Times New Roman" w:hAnsi="Times New Roman" w:eastAsia="宋体"/>
          <w:b w:val="0"/>
          <w:sz w:val="20"/>
        </w:rPr>
        <w:t>图3 BMI与Y浓度的模型关联曲线</w:t>
      </w:r>
    </w:p>
    <w:p>
      <w:pPr>
        <w:spacing w:before="0" w:after="0" w:line="300" w:lineRule="auto"/>
      </w:pPr>
      <w:r>
        <w:rPr>
          <w:rFonts w:ascii="Times New Roman" w:hAnsi="Times New Roman" w:eastAsia="宋体"/>
          <w:b w:val="0"/>
          <w:sz w:val="28"/>
        </w:rPr>
        <w:t>3.3 简单模型与非线性对照</w:t>
      </w:r>
    </w:p>
    <w:p>
      <w:pPr>
        <w:spacing w:before="0" w:after="0" w:line="264" w:lineRule="auto"/>
        <w:ind w:firstLine="480"/>
      </w:pPr>
      <w:r>
        <w:rPr>
          <w:rFonts w:ascii="Times New Roman" w:hAnsi="Times New Roman" w:eastAsia="宋体"/>
          <w:b w:val="0"/>
          <w:sz w:val="24"/>
        </w:rPr>
        <w:t>为检查线性假设是否过强，采用低维自然三次加性样条替代线性孕周和BMI项，仍保留孕妇随机截距，属于同一纵向建模框架中的结构扩展。外层使用5折按孕妇分组的交叉验证；样条自由度在外层训练集内部通过3折主体划分从3和4中选择。所有外层折均保留未见孕妇作测试，不利用测试孕妇的重复记录估计其随机截距。</w:t>
      </w:r>
    </w:p>
    <w:p>
      <w:pPr>
        <w:spacing w:before="0" w:after="0" w:line="264" w:lineRule="auto"/>
        <w:ind w:firstLine="480"/>
      </w:pPr>
      <w:r>
        <w:rPr>
          <w:rFonts w:ascii="Times New Roman" w:hAnsi="Times New Roman" w:eastAsia="宋体"/>
          <w:b w:val="0"/>
          <w:sz w:val="24"/>
        </w:rPr>
        <w:t>表4中的RMSE和MAE均在logit尺度计算。线性混合模型外层RMSE为0.5141，样条模型为0.5072，差异不大；主体平均误差比较的区间跨零，不能宣称样条取得稳定优势。图4展示这一比较，说明更灵活的函数形式只带来有限的样本内外差别。保留线性模型作为主要解释工具，是因为其关系清晰，而不是因其个体预测已经充分准确。</w:t>
      </w:r>
    </w:p>
    <w:p>
      <w:pPr>
        <w:spacing w:before="0" w:after="0" w:line="264" w:lineRule="auto"/>
        <w:ind w:firstLine="480"/>
      </w:pPr>
      <w:r>
        <w:rPr>
          <w:rFonts w:ascii="Times New Roman" w:hAnsi="Times New Roman" w:eastAsia="宋体"/>
          <w:b w:val="0"/>
          <w:sz w:val="24"/>
        </w:rPr>
        <w:t>表4 问题一的新孕妇预测比较</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814"/>
        <w:gridCol w:w="1814"/>
        <w:gridCol w:w="1814"/>
        <w:gridCol w:w="1814"/>
        <w:gridCol w:w="1814"/>
      </w:tblGrid>
      <w:tr>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模型</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记录RMSE</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记录MAE</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记录R²</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主体平均RMSE</w:t>
            </w:r>
          </w:p>
        </w:tc>
      </w:tr>
      <w:tr>
        <w:tc>
          <w:tcPr>
            <w:tcW w:type="dxa" w:w="1814"/>
          </w:tcPr>
          <w:p>
            <w:pPr>
              <w:spacing w:line="240" w:lineRule="auto"/>
              <w:jc w:val="center"/>
            </w:pPr>
            <w:r>
              <w:rPr>
                <w:sz w:val="20"/>
              </w:rPr>
            </w:r>
            <w:r>
              <w:rPr>
                <w:rFonts w:ascii="Times New Roman" w:hAnsi="Times New Roman" w:eastAsia="宋体"/>
                <w:b w:val="0"/>
                <w:sz w:val="20"/>
              </w:rPr>
              <w:t>线性混合模型</w:t>
            </w:r>
          </w:p>
        </w:tc>
        <w:tc>
          <w:tcPr>
            <w:tcW w:type="dxa" w:w="1814"/>
          </w:tcPr>
          <w:p>
            <w:pPr>
              <w:spacing w:line="240" w:lineRule="auto"/>
              <w:jc w:val="center"/>
            </w:pPr>
            <w:r>
              <w:rPr>
                <w:sz w:val="20"/>
              </w:rPr>
            </w:r>
            <w:r>
              <w:rPr>
                <w:rFonts w:ascii="Times New Roman" w:hAnsi="Times New Roman" w:eastAsia="宋体"/>
                <w:b w:val="0"/>
                <w:sz w:val="20"/>
              </w:rPr>
              <w:t>0.51406</w:t>
            </w:r>
          </w:p>
        </w:tc>
        <w:tc>
          <w:tcPr>
            <w:tcW w:type="dxa" w:w="1814"/>
          </w:tcPr>
          <w:p>
            <w:pPr>
              <w:spacing w:line="240" w:lineRule="auto"/>
              <w:jc w:val="center"/>
            </w:pPr>
            <w:r>
              <w:rPr>
                <w:sz w:val="20"/>
              </w:rPr>
            </w:r>
            <w:r>
              <w:rPr>
                <w:rFonts w:ascii="Times New Roman" w:hAnsi="Times New Roman" w:eastAsia="宋体"/>
                <w:b w:val="0"/>
                <w:sz w:val="20"/>
              </w:rPr>
              <w:t>0.42321</w:t>
            </w:r>
          </w:p>
        </w:tc>
        <w:tc>
          <w:tcPr>
            <w:tcW w:type="dxa" w:w="1814"/>
          </w:tcPr>
          <w:p>
            <w:pPr>
              <w:spacing w:line="240" w:lineRule="auto"/>
              <w:jc w:val="center"/>
            </w:pPr>
            <w:r>
              <w:rPr>
                <w:sz w:val="20"/>
              </w:rPr>
            </w:r>
            <w:r>
              <w:rPr>
                <w:rFonts w:ascii="Times New Roman" w:hAnsi="Times New Roman" w:eastAsia="宋体"/>
                <w:b w:val="0"/>
                <w:sz w:val="20"/>
              </w:rPr>
              <w:t>−0.03023</w:t>
            </w:r>
          </w:p>
        </w:tc>
        <w:tc>
          <w:tcPr>
            <w:tcW w:type="dxa" w:w="1814"/>
          </w:tcPr>
          <w:p>
            <w:pPr>
              <w:spacing w:line="240" w:lineRule="auto"/>
              <w:jc w:val="center"/>
            </w:pPr>
            <w:r>
              <w:rPr>
                <w:sz w:val="20"/>
              </w:rPr>
            </w:r>
            <w:r>
              <w:rPr>
                <w:rFonts w:ascii="Times New Roman" w:hAnsi="Times New Roman" w:eastAsia="宋体"/>
                <w:b w:val="0"/>
                <w:sz w:val="20"/>
              </w:rPr>
              <w:t>0.50628</w:t>
            </w:r>
          </w:p>
        </w:tc>
      </w:tr>
      <w:tr>
        <w:tc>
          <w:tcPr>
            <w:tcW w:type="dxa" w:w="1814"/>
          </w:tcPr>
          <w:p>
            <w:pPr>
              <w:spacing w:line="240" w:lineRule="auto"/>
              <w:jc w:val="center"/>
            </w:pPr>
            <w:r>
              <w:rPr>
                <w:sz w:val="20"/>
              </w:rPr>
            </w:r>
            <w:r>
              <w:rPr>
                <w:rFonts w:ascii="Times New Roman" w:hAnsi="Times New Roman" w:eastAsia="宋体"/>
                <w:b w:val="0"/>
                <w:sz w:val="20"/>
              </w:rPr>
              <w:t>加性样条混合模型</w:t>
            </w:r>
          </w:p>
        </w:tc>
        <w:tc>
          <w:tcPr>
            <w:tcW w:type="dxa" w:w="1814"/>
          </w:tcPr>
          <w:p>
            <w:pPr>
              <w:spacing w:line="240" w:lineRule="auto"/>
              <w:jc w:val="center"/>
            </w:pPr>
            <w:r>
              <w:rPr>
                <w:sz w:val="20"/>
              </w:rPr>
            </w:r>
            <w:r>
              <w:rPr>
                <w:rFonts w:ascii="Times New Roman" w:hAnsi="Times New Roman" w:eastAsia="宋体"/>
                <w:b w:val="0"/>
                <w:sz w:val="20"/>
              </w:rPr>
              <w:t>0.50717</w:t>
            </w:r>
          </w:p>
        </w:tc>
        <w:tc>
          <w:tcPr>
            <w:tcW w:type="dxa" w:w="1814"/>
          </w:tcPr>
          <w:p>
            <w:pPr>
              <w:spacing w:line="240" w:lineRule="auto"/>
              <w:jc w:val="center"/>
            </w:pPr>
            <w:r>
              <w:rPr>
                <w:sz w:val="20"/>
              </w:rPr>
            </w:r>
            <w:r>
              <w:rPr>
                <w:rFonts w:ascii="Times New Roman" w:hAnsi="Times New Roman" w:eastAsia="宋体"/>
                <w:b w:val="0"/>
                <w:sz w:val="20"/>
              </w:rPr>
              <w:t>0.41598</w:t>
            </w:r>
          </w:p>
        </w:tc>
        <w:tc>
          <w:tcPr>
            <w:tcW w:type="dxa" w:w="1814"/>
          </w:tcPr>
          <w:p>
            <w:pPr>
              <w:spacing w:line="240" w:lineRule="auto"/>
              <w:jc w:val="center"/>
            </w:pPr>
            <w:r>
              <w:rPr>
                <w:sz w:val="20"/>
              </w:rPr>
            </w:r>
            <w:r>
              <w:rPr>
                <w:rFonts w:ascii="Times New Roman" w:hAnsi="Times New Roman" w:eastAsia="宋体"/>
                <w:b w:val="0"/>
                <w:sz w:val="20"/>
              </w:rPr>
              <w:t>−0.00278</w:t>
            </w:r>
          </w:p>
        </w:tc>
        <w:tc>
          <w:tcPr>
            <w:tcW w:type="dxa" w:w="1814"/>
          </w:tcPr>
          <w:p>
            <w:pPr>
              <w:spacing w:line="240" w:lineRule="auto"/>
              <w:jc w:val="center"/>
            </w:pPr>
            <w:r>
              <w:rPr>
                <w:sz w:val="20"/>
              </w:rPr>
            </w:r>
            <w:r>
              <w:rPr>
                <w:rFonts w:ascii="Times New Roman" w:hAnsi="Times New Roman" w:eastAsia="宋体"/>
                <w:b w:val="0"/>
                <w:sz w:val="20"/>
              </w:rPr>
              <w:t>0.50083</w:t>
            </w:r>
          </w:p>
        </w:tc>
      </w:tr>
    </w:tbl>
    <w:p>
      <w:pPr>
        <w:spacing w:before="0" w:after="0" w:line="300" w:lineRule="auto"/>
        <w:jc w:val="center"/>
      </w:pPr>
      <w:r>
        <w:drawing>
          <wp:inline xmlns:a="http://schemas.openxmlformats.org/drawingml/2006/main" xmlns:pic="http://schemas.openxmlformats.org/drawingml/2006/picture">
            <wp:extent cx="5472000" cy="3300571"/>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72000" cy="3300571"/>
                    </a:xfrm>
                    <a:prstGeom prst="rect"/>
                  </pic:spPr>
                </pic:pic>
              </a:graphicData>
            </a:graphic>
          </wp:inline>
        </w:drawing>
      </w:r>
    </w:p>
    <w:p>
      <w:pPr>
        <w:spacing w:before="0" w:after="0" w:line="300" w:lineRule="auto"/>
        <w:jc w:val="center"/>
      </w:pPr>
      <w:r>
        <w:rPr>
          <w:rFonts w:ascii="Times New Roman" w:hAnsi="Times New Roman" w:eastAsia="宋体"/>
          <w:b w:val="0"/>
          <w:sz w:val="20"/>
        </w:rPr>
        <w:t>图4 线性与样条混合模型的主体留出预测比较</w:t>
      </w:r>
    </w:p>
    <w:p>
      <w:pPr>
        <w:spacing w:before="0" w:after="0" w:line="300" w:lineRule="auto"/>
      </w:pPr>
      <w:r>
        <w:rPr>
          <w:rFonts w:ascii="Times New Roman" w:hAnsi="Times New Roman" w:eastAsia="宋体"/>
          <w:b w:val="0"/>
          <w:sz w:val="28"/>
        </w:rPr>
        <w:t>3.4 解释能力与推广能力的区别</w:t>
      </w:r>
    </w:p>
    <w:p>
      <w:pPr>
        <w:spacing w:before="0" w:after="0" w:line="264" w:lineRule="auto"/>
        <w:ind w:firstLine="480"/>
      </w:pPr>
      <w:r>
        <w:rPr>
          <w:rFonts w:ascii="Times New Roman" w:hAnsi="Times New Roman" w:eastAsia="宋体"/>
          <w:b w:val="0"/>
          <w:sz w:val="24"/>
        </w:rPr>
        <w:t>线性混合模型包含已观测孕妇随机截距时，条件拟合R²约为0.7890；只使用固定效应时，训练R²约为−0.0254；对新孕妇的外层R²约为−0.0302。三者差异不是计算矛盾，而是信息条件不同。已知孕妇的历史检测帮助识别其个体偏移，新孕妇没有这一信息，只能依靠群体特征。若把条件拟合优度当作首次检测预测精度，会明显夸大模型能力。</w:t>
      </w:r>
    </w:p>
    <w:p>
      <w:pPr>
        <w:spacing w:before="0" w:after="0" w:line="264" w:lineRule="auto"/>
        <w:ind w:firstLine="480"/>
      </w:pPr>
      <w:r>
        <w:rPr>
          <w:rFonts w:ascii="Times New Roman" w:hAnsi="Times New Roman" w:eastAsia="宋体"/>
          <w:b w:val="0"/>
          <w:sz w:val="24"/>
        </w:rPr>
        <w:t>问题一因此得到两类结论：孕周和BMI在当前模型中具有显著关联，重复测量相关性必须处理；但这些固定特征不足以准确解释新孕妇浓度差异。显著性回答参数是否偏离零，预测检验回答误差是否足够小，两者不应混用。后续问题直接围绕4%达标概率建模，既贴近题目决策目标，也避免把连续浓度拟合的高条件R²错误传递给时点优化。</w:t>
      </w:r>
    </w:p>
    <w:p>
      <w:pPr>
        <w:pageBreakBefore w:val="0"/>
        <w:spacing w:before="0" w:after="0" w:line="300" w:lineRule="auto"/>
        <w:jc w:val="center"/>
      </w:pPr>
      <w:r>
        <w:rPr>
          <w:rFonts w:ascii="Times New Roman" w:hAnsi="Times New Roman" w:eastAsia="宋体"/>
          <w:b/>
          <w:sz w:val="32"/>
        </w:rPr>
        <w:t>4 问题二：达标概率与BMI分组时点</w:t>
      </w:r>
    </w:p>
    <w:p>
      <w:pPr>
        <w:spacing w:before="0" w:after="0" w:line="300" w:lineRule="auto"/>
      </w:pPr>
      <w:r>
        <w:rPr>
          <w:rFonts w:ascii="Times New Roman" w:hAnsi="Times New Roman" w:eastAsia="宋体"/>
          <w:b w:val="0"/>
          <w:sz w:val="28"/>
        </w:rPr>
        <w:t>4.1 为什么不直接估计首次达标周</w:t>
      </w:r>
    </w:p>
    <w:p>
      <w:pPr>
        <w:spacing w:before="0" w:after="0" w:line="264" w:lineRule="auto"/>
        <w:ind w:firstLine="480"/>
      </w:pPr>
      <w:r>
        <w:rPr>
          <w:rFonts w:ascii="Times New Roman" w:hAnsi="Times New Roman" w:eastAsia="宋体"/>
          <w:b w:val="0"/>
          <w:sz w:val="24"/>
        </w:rPr>
        <w:t>267名男胎孕妇中有217名在首次观测时已经达标，只知道真实首次达标发生在该时点或之前；43名在随访中出现未达标转为达标，但事件只能定位于两次采样之间；7名从未观察到达标，仍不能断言其未来不会达标。此外，34名出现阈值反转，使单调不可逆事件假设受到挑战。直接把首次观测到达标的孕周当作真实首次达标时间，会将抽血安排误认为生理过程。</w:t>
      </w:r>
    </w:p>
    <w:p>
      <w:pPr>
        <w:spacing w:before="0" w:after="0" w:line="264" w:lineRule="auto"/>
        <w:ind w:firstLine="480"/>
      </w:pPr>
      <w:r>
        <w:rPr>
          <w:rFonts w:ascii="Times New Roman" w:hAnsi="Times New Roman" w:eastAsia="宋体"/>
          <w:b w:val="0"/>
          <w:sz w:val="24"/>
        </w:rPr>
        <w:t>因此，本文采用“某孕周的一次检测是否达标”为可识别目标，优化的是这一观测达标概率对应的风险，而不把它冒称为潜在首次达标时间分布。生存分析可以在额外假设下处理删失，但本题若要直接采用，还需说明反转、检测误差和随访选择机制。本文不在信息不足时强行增加一个难以验证的事件模型。</w:t>
      </w:r>
    </w:p>
    <w:p>
      <w:pPr>
        <w:spacing w:before="0" w:after="0" w:line="300" w:lineRule="auto"/>
      </w:pPr>
      <w:r>
        <w:rPr>
          <w:rFonts w:ascii="Times New Roman" w:hAnsi="Times New Roman" w:eastAsia="宋体"/>
          <w:b w:val="0"/>
          <w:sz w:val="28"/>
        </w:rPr>
        <w:t>4.2 对新孕妇积分的二项模型</w:t>
      </w:r>
    </w:p>
    <w:p>
      <w:pPr>
        <w:spacing w:before="0" w:after="0" w:line="264" w:lineRule="auto"/>
        <w:ind w:firstLine="480"/>
      </w:pPr>
      <w:r>
        <w:rPr>
          <w:rFonts w:ascii="Times New Roman" w:hAnsi="Times New Roman" w:eastAsia="宋体"/>
          <w:b w:val="0"/>
          <w:sz w:val="24"/>
        </w:rPr>
        <w:t>定义Aᵢⱼ为Yᵢⱼ不低于τ时取1、否则取0，主分析τ=0.04。使用孕周和首条BMI代理作为固定效应，随机截距表达同一孕妇检测结果的持续相关。条件概率与新孕妇边际概率分别见式（3）和式（4）。</w:t>
      </w:r>
    </w:p>
    <w:p>
      <w:pPr>
        <w:spacing w:before="0" w:after="0" w:line="300" w:lineRule="auto"/>
        <w:jc w:val="center"/>
      </w:pPr>
      <m:oMathPara>
        <m:oMath>
          <m:sSub>
            <m:e>
              <m:r>
                <m:t>P(A</m:t>
              </m:r>
            </m:e>
            <m:sub>
              <m:r>
                <m:t>ij</m:t>
              </m:r>
            </m:sub>
          </m:sSub>
          <m:sSub>
            <m:e>
              <m:r>
                <m:t>=1∣b</m:t>
              </m:r>
            </m:e>
            <m:sub>
              <m:r>
                <m:t>i</m:t>
              </m:r>
            </m:sub>
          </m:sSub>
          <m:r>
            <m:t>)=</m:t>
          </m:r>
          <m:f>
            <m:num>
              <m:r>
                <m:t>1</m:t>
              </m:r>
            </m:num>
            <m:den>
              <m:r>
                <m:t>1+</m:t>
              </m:r>
              <m:r>
                <m:t>exp</m:t>
              </m:r>
              <m:sSubSup>
                <m:e>
                  <m:r>
                    <m:t>[-(x</m:t>
                  </m:r>
                </m:e>
                <m:sub>
                  <m:r>
                    <m:t>ij</m:t>
                  </m:r>
                </m:sub>
                <m:sup>
                  <m:r>
                    <m:t>T</m:t>
                  </m:r>
                </m:sup>
              </m:sSubSup>
              <m:r>
                <m:t>β</m:t>
              </m:r>
              <m:sSub>
                <m:e>
                  <m:r>
                    <m:t>+b</m:t>
                  </m:r>
                </m:e>
                <m:sub>
                  <m:r>
                    <m:t>i</m:t>
                  </m:r>
                </m:sub>
              </m:sSub>
              <m:r>
                <m:t>)]</m:t>
              </m:r>
            </m:den>
          </m:f>
          <m:r>
            <m:t>,</m:t>
          </m:r>
          <m:r>
            <m:t xml:space="preserve">    </m:t>
          </m:r>
          <m:sSub>
            <m:e>
              <m:r>
                <m:t xml:space="preserve"> b</m:t>
              </m:r>
            </m:e>
            <m:sub>
              <m:r>
                <m:t>i</m:t>
              </m:r>
            </m:sub>
          </m:sSub>
          <m:r>
            <m:t>∼</m:t>
          </m:r>
          <m:r>
            <m:t xml:space="preserve"> N(0,</m:t>
          </m:r>
          <m:sSubSup>
            <m:e>
              <m:r>
                <m:t>σ</m:t>
              </m:r>
            </m:e>
            <m:sub>
              <m:r>
                <m:t>b</m:t>
              </m:r>
            </m:sub>
            <m:sup>
              <m:r>
                <m:t>2</m:t>
              </m:r>
            </m:sup>
          </m:sSubSup>
          <m:r>
            <m:t xml:space="preserve">) </m:t>
          </m:r>
          <m:r>
            <m:t xml:space="preserve">  </m:t>
          </m:r>
          <m:r>
            <m:t xml:space="preserve"> (3)</m:t>
          </m:r>
        </m:oMath>
      </m:oMathPara>
    </w:p>
    <w:p>
      <w:pPr>
        <w:spacing w:before="0" w:after="0" w:line="264" w:lineRule="auto"/>
        <w:ind w:firstLine="480"/>
      </w:pPr>
      <w:r>
        <w:rPr>
          <w:rFonts w:ascii="Times New Roman" w:hAnsi="Times New Roman" w:eastAsia="宋体"/>
          <w:b w:val="0"/>
          <w:sz w:val="24"/>
        </w:rPr>
        <w:t>pᵢ(t)通过对随机效应分布积分得到，而不是简单令bᵢ=0。由于Logistic函数非线性，一般不存在“链接函数作用于平均值等于平均概率”的等式。新孕妇首次预约时不能使用其未来检测记录估计个体随机效应，因此该积分是预测条件的一部分。</w:t>
      </w:r>
    </w:p>
    <w:p>
      <w:pPr>
        <w:spacing w:before="0" w:after="0" w:line="300" w:lineRule="auto"/>
        <w:jc w:val="center"/>
      </w:pPr>
      <m:oMathPara>
        <m:oMath>
          <m:sSub>
            <m:e>
              <m:r>
                <m:t>p</m:t>
              </m:r>
            </m:e>
            <m:sub>
              <m:r>
                <m:t>i</m:t>
              </m:r>
            </m:sub>
          </m:sSub>
          <m:r>
            <m:t>(t)=</m:t>
          </m:r>
          <m:sSubSup>
            <m:e>
              <m:r>
                <m:t>∫</m:t>
              </m:r>
            </m:e>
            <m:sub>
              <m:r>
                <m:t>-</m:t>
              </m:r>
              <m:r>
                <m:t>∞</m:t>
              </m:r>
            </m:sub>
            <m:sup>
              <m:r>
                <m:t>∞</m:t>
              </m:r>
            </m:sup>
          </m:sSubSup>
          <m:f>
            <m:num>
              <m:r>
                <m:t>φ</m:t>
              </m:r>
              <m:r>
                <m:t>(u)</m:t>
              </m:r>
            </m:num>
            <m:den>
              <m:r>
                <m:t>1+</m:t>
              </m:r>
              <m:r>
                <m:t>exp</m:t>
              </m:r>
              <m:sSub>
                <m:e>
                  <m:r>
                    <m:t>[-(x</m:t>
                  </m:r>
                </m:e>
                <m:sub>
                  <m:r>
                    <m:t>i</m:t>
                  </m:r>
                </m:sub>
              </m:sSub>
              <m:sSup>
                <m:e>
                  <m:r>
                    <m:t>(t)</m:t>
                  </m:r>
                </m:e>
                <m:sup>
                  <m:r>
                    <m:t>T</m:t>
                  </m:r>
                </m:sup>
              </m:sSup>
              <m:r>
                <m:t>β</m:t>
              </m:r>
              <m:r>
                <m:t>+</m:t>
              </m:r>
              <m:sSub>
                <m:e>
                  <m:r>
                    <m:t>σ</m:t>
                  </m:r>
                </m:e>
                <m:sub>
                  <m:r>
                    <m:t>b</m:t>
                  </m:r>
                </m:sub>
              </m:sSub>
              <m:r>
                <m:t>u)]</m:t>
              </m:r>
            </m:den>
          </m:f>
          <m:r>
            <m:t xml:space="preserve"> </m:t>
          </m:r>
          <m:r>
            <m:t xml:space="preserve">du </m:t>
          </m:r>
          <m:r>
            <m:t xml:space="preserve">  </m:t>
          </m:r>
          <m:r>
            <m:t xml:space="preserve"> (4)</m:t>
          </m:r>
        </m:oMath>
      </m:oMathPara>
    </w:p>
    <w:p>
      <w:pPr>
        <w:spacing w:before="0" w:after="0" w:line="264" w:lineRule="auto"/>
        <w:ind w:firstLine="480"/>
      </w:pPr>
      <w:r>
        <w:rPr>
          <w:rFonts w:ascii="Times New Roman" w:hAnsi="Times New Roman" w:eastAsia="宋体"/>
          <w:b w:val="0"/>
          <w:sz w:val="24"/>
        </w:rPr>
        <w:t>参数通过边际似然数值优化求得，采用多个随机截距尺度初值，并逐级增加Gauss–Hermite积分节点，检查目标值及概率的数值稳定性。数值收敛只说明当前模型解已得到可靠近似，不能代替模型本身的预测验证。图5给出BMI条件下的达标概率随孕周变化情况，图6给出留出预测的校准关系。</w:t>
      </w:r>
    </w:p>
    <w:p>
      <w:pPr>
        <w:spacing w:before="0" w:after="0" w:line="300" w:lineRule="auto"/>
        <w:jc w:val="center"/>
      </w:pPr>
      <w:r>
        <w:drawing>
          <wp:inline xmlns:a="http://schemas.openxmlformats.org/drawingml/2006/main" xmlns:pic="http://schemas.openxmlformats.org/drawingml/2006/picture">
            <wp:extent cx="5472000" cy="3300571"/>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3300571"/>
                    </a:xfrm>
                    <a:prstGeom prst="rect"/>
                  </pic:spPr>
                </pic:pic>
              </a:graphicData>
            </a:graphic>
          </wp:inline>
        </w:drawing>
      </w:r>
    </w:p>
    <w:p>
      <w:pPr>
        <w:spacing w:before="0" w:after="0" w:line="300" w:lineRule="auto"/>
        <w:jc w:val="center"/>
      </w:pPr>
      <w:r>
        <w:rPr>
          <w:rFonts w:ascii="Times New Roman" w:hAnsi="Times New Roman" w:eastAsia="宋体"/>
          <w:b w:val="0"/>
          <w:sz w:val="20"/>
        </w:rPr>
        <w:t>图5 不同BMI条件下的男胎达标概率曲线</w:t>
      </w:r>
    </w:p>
    <w:p>
      <w:pPr>
        <w:spacing w:before="0" w:after="0" w:line="300" w:lineRule="auto"/>
        <w:jc w:val="center"/>
      </w:pPr>
      <w:r>
        <w:drawing>
          <wp:inline xmlns:a="http://schemas.openxmlformats.org/drawingml/2006/main" xmlns:pic="http://schemas.openxmlformats.org/drawingml/2006/picture">
            <wp:extent cx="5472000" cy="26600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72000" cy="2660000"/>
                    </a:xfrm>
                    <a:prstGeom prst="rect"/>
                  </pic:spPr>
                </pic:pic>
              </a:graphicData>
            </a:graphic>
          </wp:inline>
        </w:drawing>
      </w:r>
    </w:p>
    <w:p>
      <w:pPr>
        <w:spacing w:before="0" w:after="0" w:line="300" w:lineRule="auto"/>
        <w:jc w:val="center"/>
      </w:pPr>
      <w:r>
        <w:rPr>
          <w:rFonts w:ascii="Times New Roman" w:hAnsi="Times New Roman" w:eastAsia="宋体"/>
          <w:b w:val="0"/>
          <w:sz w:val="20"/>
        </w:rPr>
        <w:t>图6 男胎达标概率的主体留出校准检查</w:t>
      </w:r>
    </w:p>
    <w:p>
      <w:pPr>
        <w:spacing w:before="0" w:after="0" w:line="300" w:lineRule="auto"/>
      </w:pPr>
      <w:r>
        <w:rPr>
          <w:rFonts w:ascii="Times New Roman" w:hAnsi="Times New Roman" w:eastAsia="宋体"/>
          <w:b w:val="0"/>
          <w:sz w:val="28"/>
        </w:rPr>
        <w:t>4.3 概率验证及观测支持</w:t>
      </w:r>
    </w:p>
    <w:p>
      <w:pPr>
        <w:spacing w:before="0" w:after="0" w:line="264" w:lineRule="auto"/>
        <w:ind w:firstLine="480"/>
      </w:pPr>
      <w:r>
        <w:rPr>
          <w:rFonts w:ascii="Times New Roman" w:hAnsi="Times New Roman" w:eastAsia="宋体"/>
          <w:b w:val="0"/>
          <w:sz w:val="24"/>
        </w:rPr>
        <w:t>外层5折按孕妇分组，以每名孕妇记录平均Brier损失再对主体平均，避免多次检测者获得过大权重。作为对照，在每个训练折估计常数达标率，然后对测试折给出常数预测。二项模型主体Brier为0.11160，训练主体常数率对照为0.11315，训练记录常数率对照为0.11313。提升较小，配对主体误差区间跨零，说明概率模型并未显示强而稳定的外部优势。</w:t>
      </w:r>
    </w:p>
    <w:p>
      <w:pPr>
        <w:spacing w:before="0" w:after="0" w:line="264" w:lineRule="auto"/>
        <w:ind w:firstLine="480"/>
      </w:pPr>
      <w:r>
        <w:rPr>
          <w:rFonts w:ascii="Times New Roman" w:hAnsi="Times New Roman" w:eastAsia="宋体"/>
          <w:b w:val="0"/>
          <w:sz w:val="24"/>
        </w:rPr>
        <w:t>图6中预测概率0.90至0.95的区间平均预测约0.924，而实际达标比例约0.872，提示高概率区域存在乐观偏差。因此不能直接给出“达到95%就安全”的保证。嵌套校准和低维样条变体的主体Brier分别约0.11278、0.11126和0.11231，未改变缺乏稳定增益的总体判断。校准参数仅在训练层估计，避免利用外层结果选择修正方式。</w:t>
      </w:r>
    </w:p>
    <w:p>
      <w:pPr>
        <w:spacing w:before="0" w:after="0" w:line="264" w:lineRule="auto"/>
        <w:ind w:firstLine="480"/>
      </w:pPr>
      <w:r>
        <w:rPr>
          <w:rFonts w:ascii="Times New Roman" w:hAnsi="Times New Roman" w:eastAsia="宋体"/>
          <w:b w:val="0"/>
          <w:sz w:val="24"/>
        </w:rPr>
        <w:t>图7展示检测孕周的观测支持。仅69名孕妇的首次观测不晚于12周，早期数据覆盖有限。在69名早期主体上的敏感性分析会使预测产生可见变化，说明早期推荐尤其依赖样本选择。优化时增加“推荐周附近必须有足够主体观测”的约束可以限制明显无支持的解，但它不能凭空产生尚未采集的早孕信息。</w:t>
      </w:r>
    </w:p>
    <w:p>
      <w:pPr>
        <w:spacing w:before="0" w:after="0" w:line="300" w:lineRule="auto"/>
        <w:jc w:val="center"/>
      </w:pPr>
      <w:r>
        <w:drawing>
          <wp:inline xmlns:a="http://schemas.openxmlformats.org/drawingml/2006/main" xmlns:pic="http://schemas.openxmlformats.org/drawingml/2006/picture">
            <wp:extent cx="5472000" cy="31008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72000" cy="3100800"/>
                    </a:xfrm>
                    <a:prstGeom prst="rect"/>
                  </pic:spPr>
                </pic:pic>
              </a:graphicData>
            </a:graphic>
          </wp:inline>
        </w:drawing>
      </w:r>
    </w:p>
    <w:p>
      <w:pPr>
        <w:spacing w:before="0" w:after="0" w:line="300" w:lineRule="auto"/>
        <w:jc w:val="center"/>
      </w:pPr>
      <w:r>
        <w:rPr>
          <w:rFonts w:ascii="Times New Roman" w:hAnsi="Times New Roman" w:eastAsia="宋体"/>
          <w:b w:val="0"/>
          <w:sz w:val="20"/>
        </w:rPr>
        <w:t>图7 男胎检测孕周与首次观测时点的支持范围</w:t>
      </w:r>
    </w:p>
    <w:p>
      <w:pPr>
        <w:spacing w:before="0" w:after="0" w:line="300" w:lineRule="auto"/>
      </w:pPr>
      <w:r>
        <w:rPr>
          <w:rFonts w:ascii="Times New Roman" w:hAnsi="Times New Roman" w:eastAsia="宋体"/>
          <w:b w:val="0"/>
          <w:sz w:val="28"/>
        </w:rPr>
        <w:t>4.4 风险函数与连续分组</w:t>
      </w:r>
    </w:p>
    <w:p>
      <w:pPr>
        <w:spacing w:before="0" w:after="0" w:line="264" w:lineRule="auto"/>
        <w:ind w:firstLine="480"/>
      </w:pPr>
      <w:r>
        <w:rPr>
          <w:rFonts w:ascii="Times New Roman" w:hAnsi="Times New Roman" w:eastAsia="宋体"/>
          <w:b w:val="0"/>
          <w:sz w:val="24"/>
        </w:rPr>
        <w:t>将失败损失定为1，定义式（5）的条件风险。每周延迟代价λ与13周起附加代价δ为外部输入。主展示情景采用λ=0.02、δ=0.10；另外考察λ为0、0.005和0.05的情景。题面给出的晚期风险等级没有对应的定量效用数据，故本文不声称这些权重由附件估计。搜索范围为11至25周，按一天离散；28周后的阶段不在该搜索域内。</w:t>
      </w:r>
    </w:p>
    <w:p>
      <w:pPr>
        <w:spacing w:before="0" w:after="0" w:line="300" w:lineRule="auto"/>
        <w:jc w:val="center"/>
      </w:pPr>
      <m:oMathPara>
        <m:oMath>
          <m:sSub>
            <m:e>
              <m:r>
                <m:t>R</m:t>
              </m:r>
            </m:e>
            <m:sub>
              <m:r>
                <m:t>i</m:t>
              </m:r>
            </m:sub>
          </m:sSub>
          <m:sSub>
            <m:e>
              <m:r>
                <m:t>(t)=1-p</m:t>
              </m:r>
            </m:e>
            <m:sub>
              <m:r>
                <m:t>i</m:t>
              </m:r>
            </m:sub>
          </m:sSub>
          <m:r>
            <m:t>(t)+</m:t>
          </m:r>
          <m:r>
            <m:t>λ</m:t>
          </m:r>
          <m:r>
            <m:t>(t-11)+</m:t>
          </m:r>
          <m:r>
            <m:t>δ</m:t>
          </m:r>
          <m:r>
            <m:t xml:space="preserve"> I(t</m:t>
          </m:r>
          <m:r>
            <m:t>≥</m:t>
          </m:r>
          <m:r>
            <m:t xml:space="preserve">13) </m:t>
          </m:r>
          <m:r>
            <m:t xml:space="preserve">  </m:t>
          </m:r>
          <m:r>
            <m:t xml:space="preserve"> (5)</m:t>
          </m:r>
        </m:oMath>
      </m:oMathPara>
    </w:p>
    <w:p>
      <w:pPr>
        <w:spacing w:before="0" w:after="0" w:line="264" w:lineRule="auto"/>
        <w:ind w:firstLine="480"/>
      </w:pPr>
      <w:r>
        <w:rPr>
          <w:rFonts w:ascii="Times New Roman" w:hAnsi="Times New Roman" w:eastAsia="宋体"/>
          <w:b w:val="0"/>
          <w:sz w:val="24"/>
        </w:rPr>
        <w:t>先按基线BMI由小到大排序，在每个候选连续区间内为组内全部主体选择同一孕周。每名孕妇权重相同，原始组至少包含25名孕妇；同一个BMI值不得分到两侧。在候选时点前后1周内，至少要有10名训练孕妇提供观测支持。约束检查按主体而不是测序行数进行，防止重复检测制造虚假的样本支持。</w:t>
      </w:r>
    </w:p>
    <w:p>
      <w:pPr>
        <w:spacing w:before="0" w:after="0" w:line="264" w:lineRule="auto"/>
        <w:ind w:firstLine="480"/>
      </w:pPr>
      <w:r>
        <w:rPr>
          <w:rFonts w:ascii="Times New Roman" w:hAnsi="Times New Roman" w:eastAsia="宋体"/>
          <w:b w:val="0"/>
          <w:sz w:val="24"/>
        </w:rPr>
        <w:t>对于排序位置a至b的一个候选组，在满足支持约束的孕周集合内计算式（6）。因组间损失可加，使用式（7）递推求取固定组数的最优连续划分。初始化空前缀零组的损失为0，不可行状态为无穷大。回溯得到切点和各组孕周，并对相邻同日组作合并。</w:t>
      </w:r>
    </w:p>
    <w:p>
      <w:pPr>
        <w:spacing w:before="0" w:after="0" w:line="300" w:lineRule="auto"/>
        <w:jc w:val="center"/>
      </w:pPr>
      <m:oMathPara>
        <m:oMath>
          <m:r>
            <m:t>C(a,b)=</m:t>
          </m:r>
          <m:sSub>
            <m:e>
              <m:r>
                <m:t>min</m:t>
              </m:r>
            </m:e>
            <m:sub>
              <m:r>
                <m:t>t</m:t>
              </m:r>
              <m:r>
                <m:t>∈</m:t>
              </m:r>
              <m:sSub>
                <m:e>
                  <m:r>
                    <m:t xml:space="preserve"> T</m:t>
                  </m:r>
                </m:e>
                <m:sub>
                  <m:r>
                    <m:t>a:b</m:t>
                  </m:r>
                </m:sub>
              </m:sSub>
            </m:sub>
          </m:sSub>
          <m:sSubSup>
            <m:e>
              <m:r>
                <m:t>∑</m:t>
              </m:r>
            </m:e>
            <m:sub>
              <m:r>
                <m:t>i=a</m:t>
              </m:r>
            </m:sub>
            <m:sup>
              <m:r>
                <m:t>b</m:t>
              </m:r>
            </m:sup>
          </m:sSubSup>
          <m:sSub>
            <m:e>
              <m:r>
                <m:t>R</m:t>
              </m:r>
            </m:e>
            <m:sub>
              <m:r>
                <m:t>i</m:t>
              </m:r>
            </m:sub>
          </m:sSub>
          <m:r>
            <m:t xml:space="preserve">(t) </m:t>
          </m:r>
          <m:r>
            <m:t xml:space="preserve">  </m:t>
          </m:r>
          <m:r>
            <m:t xml:space="preserve"> (6)</m:t>
          </m:r>
        </m:oMath>
      </m:oMathPara>
    </w:p>
    <w:p>
      <w:pPr>
        <w:spacing w:before="0" w:after="0" w:line="300" w:lineRule="auto"/>
        <w:jc w:val="center"/>
      </w:pPr>
      <m:oMathPara>
        <m:oMath>
          <m:r>
            <m:t>F(k,b)=</m:t>
          </m:r>
          <m:sSub>
            <m:e>
              <m:r>
                <m:t>min</m:t>
              </m:r>
            </m:e>
            <m:sub>
              <m:r>
                <m:t>a</m:t>
              </m:r>
            </m:sub>
          </m:sSub>
          <m:r>
            <m:t>{</m:t>
          </m:r>
          <m:r>
            <m:t>F(k-1,a-1)+C(a,b)</m:t>
          </m:r>
          <m:r>
            <m:t>}</m:t>
          </m:r>
          <m:r>
            <m:t xml:space="preserve"> </m:t>
          </m:r>
          <m:r>
            <m:t xml:space="preserve">  </m:t>
          </m:r>
          <m:r>
            <m:t xml:space="preserve"> (7)</m:t>
          </m:r>
        </m:oMath>
      </m:oMathPara>
    </w:p>
    <w:p>
      <w:pPr>
        <w:spacing w:before="0" w:after="0" w:line="264" w:lineRule="auto"/>
        <w:ind w:firstLine="480"/>
      </w:pPr>
      <w:r>
        <w:rPr>
          <w:rFonts w:ascii="Times New Roman" w:hAnsi="Times New Roman" w:eastAsia="宋体"/>
          <w:b w:val="0"/>
          <w:sz w:val="24"/>
        </w:rPr>
        <w:t>上述最优性仅针对已给定的概率、离散网格和约束。每个最优k组方案的最后一组必为某个连续区间，若其前k−1组并非相应前缀的最优解，就能替换后得到更小总损失，与最优性矛盾，因此递推穷尽合法划分即可得到离散全局最优。它不意味着风险函数正确，更不意味着医学意义上的全局最优。</w:t>
      </w:r>
    </w:p>
    <w:p>
      <w:pPr>
        <w:spacing w:before="0" w:after="0" w:line="264" w:lineRule="auto"/>
        <w:ind w:firstLine="480"/>
      </w:pPr>
      <w:r>
        <w:rPr>
          <w:rFonts w:ascii="Times New Roman" w:hAnsi="Times New Roman" w:eastAsia="宋体"/>
          <w:b w:val="0"/>
          <w:sz w:val="24"/>
        </w:rPr>
        <w:t>合并相邻同日组不会改变任何主体的检测时间，也不会改变目标函数值。保留没有决策差异的切点会造成“分组越多越精细”的假象，因此正文报告合并后的实际方案，并保留最初求解组数作为计算条件。组数1、3和4均进行了比较，最终展示由4组求解后得到的有效分组。</w:t>
      </w:r>
    </w:p>
    <w:p>
      <w:pPr>
        <w:spacing w:before="0" w:after="0" w:line="300" w:lineRule="auto"/>
      </w:pPr>
      <w:r>
        <w:rPr>
          <w:rFonts w:ascii="Times New Roman" w:hAnsi="Times New Roman" w:eastAsia="宋体"/>
          <w:b w:val="0"/>
          <w:sz w:val="28"/>
        </w:rPr>
        <w:t>4.5 问题二的条件答案</w:t>
      </w:r>
    </w:p>
    <w:p>
      <w:pPr>
        <w:spacing w:before="0" w:after="0" w:line="264" w:lineRule="auto"/>
        <w:ind w:firstLine="480"/>
      </w:pPr>
      <w:r>
        <w:rPr>
          <w:rFonts w:ascii="Times New Roman" w:hAnsi="Times New Roman" w:eastAsia="宋体"/>
          <w:b w:val="0"/>
          <w:sz w:val="24"/>
        </w:rPr>
        <w:t>表5给出完整样本在4%阈值、中延迟情景下的有效三组方案。BMI边界展示至四位小数，实际计算使用未舍入值；区间左闭右开，最后一组包含样本上端点。第一组对应200名孕妇，11周为搜索下界；后两组分别为25名和42名孕妇。表中的人数是本附件的分组人数，不是对未来人群比例的估计。</w:t>
      </w:r>
    </w:p>
    <w:p>
      <w:pPr>
        <w:spacing w:before="0" w:after="0" w:line="264" w:lineRule="auto"/>
        <w:ind w:firstLine="480"/>
      </w:pPr>
      <w:r>
        <w:rPr>
          <w:rFonts w:ascii="Times New Roman" w:hAnsi="Times New Roman" w:eastAsia="宋体"/>
          <w:b w:val="0"/>
          <w:sz w:val="24"/>
        </w:rPr>
        <w:t>表5 问题二的BMI条件分组及推荐时点</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268"/>
        <w:gridCol w:w="2268"/>
        <w:gridCol w:w="2268"/>
        <w:gridCol w:w="2268"/>
      </w:tblGrid>
      <w:tr>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BMI区间（kg/m²）</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人数</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条件检测时点</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说明</w:t>
            </w:r>
          </w:p>
        </w:tc>
      </w:tr>
      <w:tr>
        <w:tc>
          <w:tcPr>
            <w:tcW w:type="dxa" w:w="2268"/>
          </w:tcPr>
          <w:p>
            <w:pPr>
              <w:spacing w:line="240" w:lineRule="auto"/>
              <w:jc w:val="center"/>
            </w:pPr>
            <w:r>
              <w:rPr>
                <w:sz w:val="20"/>
              </w:rPr>
            </w:r>
            <w:r>
              <w:rPr>
                <w:rFonts w:ascii="Times New Roman" w:hAnsi="Times New Roman" w:eastAsia="宋体"/>
                <w:b w:val="0"/>
                <w:sz w:val="20"/>
              </w:rPr>
              <w:t>[20.7031, 33.3589)</w:t>
            </w:r>
          </w:p>
        </w:tc>
        <w:tc>
          <w:tcPr>
            <w:tcW w:type="dxa" w:w="2268"/>
          </w:tcPr>
          <w:p>
            <w:pPr>
              <w:spacing w:line="240" w:lineRule="auto"/>
              <w:jc w:val="center"/>
            </w:pPr>
            <w:r>
              <w:rPr>
                <w:sz w:val="20"/>
              </w:rPr>
            </w:r>
            <w:r>
              <w:rPr>
                <w:rFonts w:ascii="Times New Roman" w:hAnsi="Times New Roman" w:eastAsia="宋体"/>
                <w:b w:val="0"/>
                <w:sz w:val="20"/>
              </w:rPr>
              <w:t>200</w:t>
            </w:r>
          </w:p>
        </w:tc>
        <w:tc>
          <w:tcPr>
            <w:tcW w:type="dxa" w:w="2268"/>
          </w:tcPr>
          <w:p>
            <w:pPr>
              <w:spacing w:line="240" w:lineRule="auto"/>
              <w:jc w:val="center"/>
            </w:pPr>
            <w:r>
              <w:rPr>
                <w:sz w:val="20"/>
              </w:rPr>
            </w:r>
            <w:r>
              <w:rPr>
                <w:rFonts w:ascii="Times New Roman" w:hAnsi="Times New Roman" w:eastAsia="宋体"/>
                <w:b w:val="0"/>
                <w:sz w:val="20"/>
              </w:rPr>
              <w:t>11周</w:t>
            </w:r>
          </w:p>
        </w:tc>
        <w:tc>
          <w:tcPr>
            <w:tcW w:type="dxa" w:w="2268"/>
          </w:tcPr>
          <w:p>
            <w:pPr>
              <w:spacing w:line="240" w:lineRule="auto"/>
              <w:jc w:val="center"/>
            </w:pPr>
            <w:r>
              <w:rPr>
                <w:sz w:val="20"/>
              </w:rPr>
            </w:r>
            <w:r>
              <w:rPr>
                <w:rFonts w:ascii="Times New Roman" w:hAnsi="Times New Roman" w:eastAsia="宋体"/>
                <w:b w:val="0"/>
                <w:sz w:val="20"/>
              </w:rPr>
              <w:t>搜索域下界</w:t>
            </w:r>
          </w:p>
        </w:tc>
      </w:tr>
      <w:tr>
        <w:tc>
          <w:tcPr>
            <w:tcW w:type="dxa" w:w="2268"/>
          </w:tcPr>
          <w:p>
            <w:pPr>
              <w:spacing w:line="240" w:lineRule="auto"/>
              <w:jc w:val="center"/>
            </w:pPr>
            <w:r>
              <w:rPr>
                <w:sz w:val="20"/>
              </w:rPr>
            </w:r>
            <w:r>
              <w:rPr>
                <w:rFonts w:ascii="Times New Roman" w:hAnsi="Times New Roman" w:eastAsia="宋体"/>
                <w:b w:val="0"/>
                <w:sz w:val="20"/>
              </w:rPr>
              <w:t>[33.3589, 34.4118)</w:t>
            </w:r>
          </w:p>
        </w:tc>
        <w:tc>
          <w:tcPr>
            <w:tcW w:type="dxa" w:w="2268"/>
          </w:tcPr>
          <w:p>
            <w:pPr>
              <w:spacing w:line="240" w:lineRule="auto"/>
              <w:jc w:val="center"/>
            </w:pPr>
            <w:r>
              <w:rPr>
                <w:sz w:val="20"/>
              </w:rPr>
            </w:r>
            <w:r>
              <w:rPr>
                <w:rFonts w:ascii="Times New Roman" w:hAnsi="Times New Roman" w:eastAsia="宋体"/>
                <w:b w:val="0"/>
                <w:sz w:val="20"/>
              </w:rPr>
              <w:t>25</w:t>
            </w:r>
          </w:p>
        </w:tc>
        <w:tc>
          <w:tcPr>
            <w:tcW w:type="dxa" w:w="2268"/>
          </w:tcPr>
          <w:p>
            <w:pPr>
              <w:spacing w:line="240" w:lineRule="auto"/>
              <w:jc w:val="center"/>
            </w:pPr>
            <w:r>
              <w:rPr>
                <w:sz w:val="20"/>
              </w:rPr>
            </w:r>
            <w:r>
              <w:rPr>
                <w:rFonts w:ascii="Times New Roman" w:hAnsi="Times New Roman" w:eastAsia="宋体"/>
                <w:b w:val="0"/>
                <w:sz w:val="20"/>
              </w:rPr>
              <w:t>11周6天</w:t>
            </w:r>
          </w:p>
        </w:tc>
        <w:tc>
          <w:tcPr>
            <w:tcW w:type="dxa" w:w="2268"/>
          </w:tcPr>
          <w:p>
            <w:pPr>
              <w:spacing w:line="240" w:lineRule="auto"/>
              <w:jc w:val="center"/>
            </w:pPr>
            <w:r>
              <w:rPr>
                <w:sz w:val="20"/>
              </w:rPr>
            </w:r>
            <w:r>
              <w:rPr>
                <w:rFonts w:ascii="Times New Roman" w:hAnsi="Times New Roman" w:eastAsia="宋体"/>
                <w:b w:val="0"/>
                <w:sz w:val="20"/>
              </w:rPr>
              <w:t>达到最小原始组人数</w:t>
            </w:r>
          </w:p>
        </w:tc>
      </w:tr>
      <w:tr>
        <w:tc>
          <w:tcPr>
            <w:tcW w:type="dxa" w:w="2268"/>
          </w:tcPr>
          <w:p>
            <w:pPr>
              <w:spacing w:line="240" w:lineRule="auto"/>
              <w:jc w:val="center"/>
            </w:pPr>
            <w:r>
              <w:rPr>
                <w:sz w:val="20"/>
              </w:rPr>
            </w:r>
            <w:r>
              <w:rPr>
                <w:rFonts w:ascii="Times New Roman" w:hAnsi="Times New Roman" w:eastAsia="宋体"/>
                <w:b w:val="0"/>
                <w:sz w:val="20"/>
              </w:rPr>
              <w:t>[34.4118, 46.8750]</w:t>
            </w:r>
          </w:p>
        </w:tc>
        <w:tc>
          <w:tcPr>
            <w:tcW w:type="dxa" w:w="2268"/>
          </w:tcPr>
          <w:p>
            <w:pPr>
              <w:spacing w:line="240" w:lineRule="auto"/>
              <w:jc w:val="center"/>
            </w:pPr>
            <w:r>
              <w:rPr>
                <w:sz w:val="20"/>
              </w:rPr>
            </w:r>
            <w:r>
              <w:rPr>
                <w:rFonts w:ascii="Times New Roman" w:hAnsi="Times New Roman" w:eastAsia="宋体"/>
                <w:b w:val="0"/>
                <w:sz w:val="20"/>
              </w:rPr>
              <w:t>42</w:t>
            </w:r>
          </w:p>
        </w:tc>
        <w:tc>
          <w:tcPr>
            <w:tcW w:type="dxa" w:w="2268"/>
          </w:tcPr>
          <w:p>
            <w:pPr>
              <w:spacing w:line="240" w:lineRule="auto"/>
              <w:jc w:val="center"/>
            </w:pPr>
            <w:r>
              <w:rPr>
                <w:sz w:val="20"/>
              </w:rPr>
            </w:r>
            <w:r>
              <w:rPr>
                <w:rFonts w:ascii="Times New Roman" w:hAnsi="Times New Roman" w:eastAsia="宋体"/>
                <w:b w:val="0"/>
                <w:sz w:val="20"/>
              </w:rPr>
              <w:t>12周6天</w:t>
            </w:r>
          </w:p>
        </w:tc>
        <w:tc>
          <w:tcPr>
            <w:tcW w:type="dxa" w:w="2268"/>
          </w:tcPr>
          <w:p>
            <w:pPr>
              <w:spacing w:line="240" w:lineRule="auto"/>
              <w:jc w:val="center"/>
            </w:pPr>
            <w:r>
              <w:rPr>
                <w:sz w:val="20"/>
              </w:rPr>
            </w:r>
            <w:r>
              <w:rPr>
                <w:rFonts w:ascii="Times New Roman" w:hAnsi="Times New Roman" w:eastAsia="宋体"/>
                <w:b w:val="0"/>
                <w:sz w:val="20"/>
              </w:rPr>
              <w:t>位于13周阶跃之前</w:t>
            </w:r>
          </w:p>
        </w:tc>
      </w:tr>
    </w:tbl>
    <w:p>
      <w:pPr>
        <w:spacing w:before="0" w:after="0" w:line="264" w:lineRule="auto"/>
        <w:ind w:firstLine="480"/>
      </w:pPr>
      <w:r>
        <w:rPr>
          <w:rFonts w:ascii="Times New Roman" w:hAnsi="Times New Roman" w:eastAsia="宋体"/>
          <w:b w:val="0"/>
          <w:sz w:val="24"/>
        </w:rPr>
        <w:t>该表回答了题目要求的“如何分组、何时检测”，但必须连同风险权重解释。特别是12周6天靠近13周附加损失开始的前一天，体现离散风险设定，而不是生理机制证明该天特殊。11周是搜索域边界，也不能被解释为更早孕周必然不合适。观测不足、概率校准偏差及风险权重变化均可能改变表中时点。</w:t>
      </w:r>
    </w:p>
    <w:p>
      <w:pPr>
        <w:spacing w:before="0" w:after="0" w:line="264" w:lineRule="auto"/>
        <w:ind w:firstLine="480"/>
      </w:pPr>
      <w:r>
        <w:rPr>
          <w:rFonts w:ascii="Times New Roman" w:hAnsi="Times New Roman" w:eastAsia="宋体"/>
          <w:b w:val="0"/>
          <w:sz w:val="24"/>
        </w:rPr>
        <w:t>当外层训练集产生一个策略，再把留出孕妇协变量代入训练模型计算期望风险时，所得只是模型自评风险，不能视为真实接受策略后的检测效果。本文把外层概率验证和全样本条件解分开报告，避免将二者混成已经完成前瞻性验证的结论。部署前应利用新的独立队列考察实际失败率和复检成本，才能进一步判断决策价值。</w:t>
      </w:r>
    </w:p>
    <w:p>
      <w:pPr>
        <w:pageBreakBefore w:val="0"/>
        <w:spacing w:before="0" w:after="0" w:line="300" w:lineRule="auto"/>
        <w:jc w:val="center"/>
      </w:pPr>
      <w:r>
        <w:rPr>
          <w:rFonts w:ascii="Times New Roman" w:hAnsi="Times New Roman" w:eastAsia="宋体"/>
          <w:b/>
          <w:sz w:val="32"/>
        </w:rPr>
        <w:t>5 问题三：多因素扩展及分组调整</w:t>
      </w:r>
    </w:p>
    <w:p>
      <w:pPr>
        <w:spacing w:before="0" w:after="0" w:line="300" w:lineRule="auto"/>
      </w:pPr>
      <w:r>
        <w:rPr>
          <w:rFonts w:ascii="Times New Roman" w:hAnsi="Times New Roman" w:eastAsia="宋体"/>
          <w:b w:val="0"/>
          <w:sz w:val="28"/>
        </w:rPr>
        <w:t>5.1 特征选择与可用信息</w:t>
      </w:r>
    </w:p>
    <w:p>
      <w:pPr>
        <w:spacing w:before="0" w:after="0" w:line="264" w:lineRule="auto"/>
        <w:ind w:firstLine="480"/>
      </w:pPr>
      <w:r>
        <w:rPr>
          <w:rFonts w:ascii="Times New Roman" w:hAnsi="Times New Roman" w:eastAsia="宋体"/>
          <w:b w:val="0"/>
          <w:sz w:val="24"/>
        </w:rPr>
        <w:t>问题三要求考虑更多因素，但变量越多不等于答案越可靠。本文从预约前可得性和模型稳定性出发，固定两个扩展规格：基础扩展在Q2的孕周和基线BMI之外加入首条记录年龄、身高；完整扩展进一步加入辅助受孕、孕次与产次代理。BMI已包含体重和身高的组合信息，基础扩展不再把原体重与BMI、身高同时线性输入，以降低明显共线性。图8展示主要基线协变量分布与相互关系。</w:t>
      </w:r>
    </w:p>
    <w:p>
      <w:pPr>
        <w:spacing w:before="0" w:after="0" w:line="300" w:lineRule="auto"/>
        <w:jc w:val="center"/>
      </w:pPr>
      <w:r>
        <w:drawing>
          <wp:inline xmlns:a="http://schemas.openxmlformats.org/drawingml/2006/main" xmlns:pic="http://schemas.openxmlformats.org/drawingml/2006/picture">
            <wp:extent cx="5472000" cy="31008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000" cy="3100800"/>
                    </a:xfrm>
                    <a:prstGeom prst="rect"/>
                  </pic:spPr>
                </pic:pic>
              </a:graphicData>
            </a:graphic>
          </wp:inline>
        </w:drawing>
      </w:r>
    </w:p>
    <w:p>
      <w:pPr>
        <w:spacing w:before="0" w:after="0" w:line="300" w:lineRule="auto"/>
        <w:jc w:val="center"/>
      </w:pPr>
      <w:r>
        <w:rPr>
          <w:rFonts w:ascii="Times New Roman" w:hAnsi="Times New Roman" w:eastAsia="宋体"/>
          <w:b w:val="0"/>
          <w:sz w:val="20"/>
        </w:rPr>
        <w:t>图8 男胎基线年龄、身高与BMI的分布关系</w:t>
      </w:r>
    </w:p>
    <w:p>
      <w:pPr>
        <w:spacing w:before="0" w:after="0" w:line="264" w:lineRule="auto"/>
        <w:ind w:firstLine="480"/>
      </w:pPr>
      <w:r>
        <w:rPr>
          <w:rFonts w:ascii="Times New Roman" w:hAnsi="Times New Roman" w:eastAsia="宋体"/>
          <w:b w:val="0"/>
          <w:sz w:val="24"/>
        </w:rPr>
        <w:t>辅助受孕由附件标记编码，孕次中的“至少3次”等开放上端类别按3作代理，其含义是有序近似而非精确次数。该简化可能降低模型表达能力，故完整扩展不被视为多因素建模的全部可能形式。当前比较只回答这两个固定规格能否在相同数据和验证方式下稳定改进预测，不对未试验模型作否定判断。</w:t>
      </w:r>
    </w:p>
    <w:p>
      <w:pPr>
        <w:spacing w:before="0" w:after="0" w:line="264" w:lineRule="auto"/>
        <w:ind w:firstLine="480"/>
      </w:pPr>
      <w:r>
        <w:rPr>
          <w:rFonts w:ascii="Times New Roman" w:hAnsi="Times New Roman" w:eastAsia="宋体"/>
          <w:b w:val="0"/>
          <w:sz w:val="24"/>
        </w:rPr>
        <w:t>测序质量指标在Q4的检测后判定中可以使用，但在Q3的首次预约中通常未知。将它们直接输入预约模型容易形成时间信息泄漏，因此本文没有以高预测分数为理由引入未来质量信息。若未来能够在预约时预测测序质量，可另建独立质量预测模型并传播其不确定性；本附件现阶段不支持把检测后实测质量作为已知输入。</w:t>
      </w:r>
    </w:p>
    <w:p>
      <w:pPr>
        <w:spacing w:before="0" w:after="0" w:line="300" w:lineRule="auto"/>
      </w:pPr>
      <w:r>
        <w:rPr>
          <w:rFonts w:ascii="Times New Roman" w:hAnsi="Times New Roman" w:eastAsia="宋体"/>
          <w:b w:val="0"/>
          <w:sz w:val="28"/>
        </w:rPr>
        <w:t>5.2 同折配对比较</w:t>
      </w:r>
    </w:p>
    <w:p>
      <w:pPr>
        <w:spacing w:before="0" w:after="0" w:line="264" w:lineRule="auto"/>
        <w:ind w:firstLine="480"/>
      </w:pPr>
      <w:r>
        <w:rPr>
          <w:rFonts w:ascii="Times New Roman" w:hAnsi="Times New Roman" w:eastAsia="宋体"/>
          <w:b w:val="0"/>
          <w:sz w:val="24"/>
        </w:rPr>
        <w:t>Q2、基础扩展和完整扩展使用相同的5折主体划分，因此可以比较每位孕妇的外层预测误差差值。定义正差值为扩展模型Brier更高，即表现更差；区间通过对已得到的主体损失差值重采样构造。该区间描述当前外层预测结果在主体层面的不确定性，不包含重新选择模型结构与反复训练产生的全部不确定性。</w:t>
      </w:r>
    </w:p>
    <w:p>
      <w:pPr>
        <w:spacing w:before="0" w:after="0" w:line="264" w:lineRule="auto"/>
        <w:ind w:firstLine="480"/>
      </w:pPr>
      <w:r>
        <w:rPr>
          <w:rFonts w:ascii="Times New Roman" w:hAnsi="Times New Roman" w:eastAsia="宋体"/>
          <w:b w:val="0"/>
          <w:sz w:val="24"/>
        </w:rPr>
        <w:t>表6列出结果。基础扩展Brier为0.11192，比Q2高0.00032，区间为−0.00247至0.00312；完整扩展为0.11384，高0.00224，区间为−0.00132至0.00596。图9对应上述配对比较。两者都没有显示稳定改善，但区间也不支持“年龄、身高等因素完全无用”的绝对判断。</w:t>
      </w:r>
    </w:p>
    <w:p>
      <w:pPr>
        <w:spacing w:before="0" w:after="0" w:line="264" w:lineRule="auto"/>
        <w:ind w:firstLine="480"/>
      </w:pPr>
      <w:r>
        <w:rPr>
          <w:rFonts w:ascii="Times New Roman" w:hAnsi="Times New Roman" w:eastAsia="宋体"/>
          <w:b w:val="0"/>
          <w:sz w:val="24"/>
        </w:rPr>
        <w:t>表6 固定多因素规格相对Q2的主体留出表现</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268"/>
        <w:gridCol w:w="2268"/>
        <w:gridCol w:w="2268"/>
        <w:gridCol w:w="2268"/>
      </w:tblGrid>
      <w:tr>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规格</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主体Brier</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相对Q2差值</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差值95%区间</w:t>
            </w:r>
          </w:p>
        </w:tc>
      </w:tr>
      <w:tr>
        <w:tc>
          <w:tcPr>
            <w:tcW w:type="dxa" w:w="2268"/>
          </w:tcPr>
          <w:p>
            <w:pPr>
              <w:spacing w:line="240" w:lineRule="auto"/>
              <w:jc w:val="center"/>
            </w:pPr>
            <w:r>
              <w:rPr>
                <w:sz w:val="20"/>
              </w:rPr>
            </w:r>
            <w:r>
              <w:rPr>
                <w:rFonts w:ascii="Times New Roman" w:hAnsi="Times New Roman" w:eastAsia="宋体"/>
                <w:b w:val="0"/>
                <w:sz w:val="20"/>
              </w:rPr>
              <w:t>Q2：孕周与BMI</w:t>
            </w:r>
          </w:p>
        </w:tc>
        <w:tc>
          <w:tcPr>
            <w:tcW w:type="dxa" w:w="2268"/>
          </w:tcPr>
          <w:p>
            <w:pPr>
              <w:spacing w:line="240" w:lineRule="auto"/>
              <w:jc w:val="center"/>
            </w:pPr>
            <w:r>
              <w:rPr>
                <w:sz w:val="20"/>
              </w:rPr>
            </w:r>
            <w:r>
              <w:rPr>
                <w:rFonts w:ascii="Times New Roman" w:hAnsi="Times New Roman" w:eastAsia="宋体"/>
                <w:b w:val="0"/>
                <w:sz w:val="20"/>
              </w:rPr>
              <w:t>0.11160</w:t>
            </w:r>
          </w:p>
        </w:tc>
        <w:tc>
          <w:tcPr>
            <w:tcW w:type="dxa" w:w="2268"/>
          </w:tcPr>
          <w:p>
            <w:pPr>
              <w:spacing w:line="240" w:lineRule="auto"/>
              <w:jc w:val="center"/>
            </w:pPr>
            <w:r>
              <w:rPr>
                <w:sz w:val="20"/>
              </w:rPr>
            </w:r>
            <w:r>
              <w:rPr>
                <w:rFonts w:ascii="Times New Roman" w:hAnsi="Times New Roman" w:eastAsia="宋体"/>
                <w:b w:val="0"/>
                <w:sz w:val="20"/>
              </w:rPr>
              <w:t>0</w:t>
            </w:r>
          </w:p>
        </w:tc>
        <w:tc>
          <w:tcPr>
            <w:tcW w:type="dxa" w:w="2268"/>
          </w:tcPr>
          <w:p>
            <w:pPr>
              <w:spacing w:line="240" w:lineRule="auto"/>
              <w:jc w:val="center"/>
            </w:pPr>
            <w:r>
              <w:rPr>
                <w:sz w:val="20"/>
              </w:rPr>
            </w:r>
            <w:r>
              <w:rPr>
                <w:rFonts w:ascii="Times New Roman" w:hAnsi="Times New Roman" w:eastAsia="宋体"/>
                <w:b w:val="0"/>
                <w:sz w:val="20"/>
              </w:rPr>
              <w:t>—</w:t>
            </w:r>
          </w:p>
        </w:tc>
      </w:tr>
      <w:tr>
        <w:tc>
          <w:tcPr>
            <w:tcW w:type="dxa" w:w="2268"/>
          </w:tcPr>
          <w:p>
            <w:pPr>
              <w:spacing w:line="240" w:lineRule="auto"/>
              <w:jc w:val="center"/>
            </w:pPr>
            <w:r>
              <w:rPr>
                <w:sz w:val="20"/>
              </w:rPr>
            </w:r>
            <w:r>
              <w:rPr>
                <w:rFonts w:ascii="Times New Roman" w:hAnsi="Times New Roman" w:eastAsia="宋体"/>
                <w:b w:val="0"/>
                <w:sz w:val="20"/>
              </w:rPr>
              <w:t>基础扩展：加入年龄、身高</w:t>
            </w:r>
          </w:p>
        </w:tc>
        <w:tc>
          <w:tcPr>
            <w:tcW w:type="dxa" w:w="2268"/>
          </w:tcPr>
          <w:p>
            <w:pPr>
              <w:spacing w:line="240" w:lineRule="auto"/>
              <w:jc w:val="center"/>
            </w:pPr>
            <w:r>
              <w:rPr>
                <w:sz w:val="20"/>
              </w:rPr>
            </w:r>
            <w:r>
              <w:rPr>
                <w:rFonts w:ascii="Times New Roman" w:hAnsi="Times New Roman" w:eastAsia="宋体"/>
                <w:b w:val="0"/>
                <w:sz w:val="20"/>
              </w:rPr>
              <w:t>0.11192</w:t>
            </w:r>
          </w:p>
        </w:tc>
        <w:tc>
          <w:tcPr>
            <w:tcW w:type="dxa" w:w="2268"/>
          </w:tcPr>
          <w:p>
            <w:pPr>
              <w:spacing w:line="240" w:lineRule="auto"/>
              <w:jc w:val="center"/>
            </w:pPr>
            <w:r>
              <w:rPr>
                <w:sz w:val="20"/>
              </w:rPr>
            </w:r>
            <w:r>
              <w:rPr>
                <w:rFonts w:ascii="Times New Roman" w:hAnsi="Times New Roman" w:eastAsia="宋体"/>
                <w:b w:val="0"/>
                <w:sz w:val="20"/>
              </w:rPr>
              <w:t>0.00032</w:t>
            </w:r>
          </w:p>
        </w:tc>
        <w:tc>
          <w:tcPr>
            <w:tcW w:type="dxa" w:w="2268"/>
          </w:tcPr>
          <w:p>
            <w:pPr>
              <w:spacing w:line="240" w:lineRule="auto"/>
              <w:jc w:val="center"/>
            </w:pPr>
            <w:r>
              <w:rPr>
                <w:sz w:val="20"/>
              </w:rPr>
            </w:r>
            <w:r>
              <w:rPr>
                <w:rFonts w:ascii="Times New Roman" w:hAnsi="Times New Roman" w:eastAsia="宋体"/>
                <w:b w:val="0"/>
                <w:sz w:val="20"/>
              </w:rPr>
              <w:t>[−0.00247, 0.00312]</w:t>
            </w:r>
          </w:p>
        </w:tc>
      </w:tr>
      <w:tr>
        <w:tc>
          <w:tcPr>
            <w:tcW w:type="dxa" w:w="2268"/>
          </w:tcPr>
          <w:p>
            <w:pPr>
              <w:spacing w:line="240" w:lineRule="auto"/>
              <w:jc w:val="center"/>
            </w:pPr>
            <w:r>
              <w:rPr>
                <w:sz w:val="20"/>
              </w:rPr>
            </w:r>
            <w:r>
              <w:rPr>
                <w:rFonts w:ascii="Times New Roman" w:hAnsi="Times New Roman" w:eastAsia="宋体"/>
                <w:b w:val="0"/>
                <w:sz w:val="20"/>
              </w:rPr>
              <w:t>完整扩展：再加入孕产因素</w:t>
            </w:r>
          </w:p>
        </w:tc>
        <w:tc>
          <w:tcPr>
            <w:tcW w:type="dxa" w:w="2268"/>
          </w:tcPr>
          <w:p>
            <w:pPr>
              <w:spacing w:line="240" w:lineRule="auto"/>
              <w:jc w:val="center"/>
            </w:pPr>
            <w:r>
              <w:rPr>
                <w:sz w:val="20"/>
              </w:rPr>
            </w:r>
            <w:r>
              <w:rPr>
                <w:rFonts w:ascii="Times New Roman" w:hAnsi="Times New Roman" w:eastAsia="宋体"/>
                <w:b w:val="0"/>
                <w:sz w:val="20"/>
              </w:rPr>
              <w:t>0.11384</w:t>
            </w:r>
          </w:p>
        </w:tc>
        <w:tc>
          <w:tcPr>
            <w:tcW w:type="dxa" w:w="2268"/>
          </w:tcPr>
          <w:p>
            <w:pPr>
              <w:spacing w:line="240" w:lineRule="auto"/>
              <w:jc w:val="center"/>
            </w:pPr>
            <w:r>
              <w:rPr>
                <w:sz w:val="20"/>
              </w:rPr>
            </w:r>
            <w:r>
              <w:rPr>
                <w:rFonts w:ascii="Times New Roman" w:hAnsi="Times New Roman" w:eastAsia="宋体"/>
                <w:b w:val="0"/>
                <w:sz w:val="20"/>
              </w:rPr>
              <w:t>0.00224</w:t>
            </w:r>
          </w:p>
        </w:tc>
        <w:tc>
          <w:tcPr>
            <w:tcW w:type="dxa" w:w="2268"/>
          </w:tcPr>
          <w:p>
            <w:pPr>
              <w:spacing w:line="240" w:lineRule="auto"/>
              <w:jc w:val="center"/>
            </w:pPr>
            <w:r>
              <w:rPr>
                <w:sz w:val="20"/>
              </w:rPr>
            </w:r>
            <w:r>
              <w:rPr>
                <w:rFonts w:ascii="Times New Roman" w:hAnsi="Times New Roman" w:eastAsia="宋体"/>
                <w:b w:val="0"/>
                <w:sz w:val="20"/>
              </w:rPr>
              <w:t>[−0.00132, 0.00596]</w:t>
            </w:r>
          </w:p>
        </w:tc>
      </w:tr>
    </w:tbl>
    <w:p>
      <w:pPr>
        <w:spacing w:before="0" w:after="0" w:line="300" w:lineRule="auto"/>
        <w:jc w:val="center"/>
      </w:pPr>
      <w:r>
        <w:drawing>
          <wp:inline xmlns:a="http://schemas.openxmlformats.org/drawingml/2006/main" xmlns:pic="http://schemas.openxmlformats.org/drawingml/2006/picture">
            <wp:extent cx="5472000" cy="291840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000" cy="2918400"/>
                    </a:xfrm>
                    <a:prstGeom prst="rect"/>
                  </pic:spPr>
                </pic:pic>
              </a:graphicData>
            </a:graphic>
          </wp:inline>
        </w:drawing>
      </w:r>
    </w:p>
    <w:p>
      <w:pPr>
        <w:spacing w:before="0" w:after="0" w:line="300" w:lineRule="auto"/>
        <w:jc w:val="center"/>
      </w:pPr>
      <w:r>
        <w:rPr>
          <w:rFonts w:ascii="Times New Roman" w:hAnsi="Times New Roman" w:eastAsia="宋体"/>
          <w:b w:val="0"/>
          <w:sz w:val="20"/>
        </w:rPr>
        <w:t>图9 多因素扩展模型相对BMI模型的配对误差</w:t>
      </w:r>
    </w:p>
    <w:p>
      <w:pPr>
        <w:spacing w:before="0" w:after="0" w:line="264" w:lineRule="auto"/>
        <w:ind w:firstLine="480"/>
      </w:pPr>
      <w:r>
        <w:rPr>
          <w:rFonts w:ascii="Times New Roman" w:hAnsi="Times New Roman" w:eastAsia="宋体"/>
          <w:b w:val="0"/>
          <w:sz w:val="24"/>
        </w:rPr>
        <w:t>这一结果支持在当前数据下保持简洁主线，避免仅因问题列出多个因素就强行堆叠复杂模型。它也提示信息增益可能受样本规模、特征范围、测量误差及目标定义影响。某变量对连续浓度存在统计关系，并不保证能改进4%二元事件预测；某变量在已观测孕妇中有用，也不保证在首次检测的新孕妇中有用。模型比较必须与最终使用条件一致。</w:t>
      </w:r>
    </w:p>
    <w:p>
      <w:pPr>
        <w:spacing w:before="0" w:after="0" w:line="300" w:lineRule="auto"/>
      </w:pPr>
      <w:r>
        <w:rPr>
          <w:rFonts w:ascii="Times New Roman" w:hAnsi="Times New Roman" w:eastAsia="宋体"/>
          <w:b w:val="0"/>
          <w:sz w:val="28"/>
        </w:rPr>
        <w:t>5.3 在多因素概率上仍按BMI分组</w:t>
      </w:r>
    </w:p>
    <w:p>
      <w:pPr>
        <w:spacing w:before="0" w:after="0" w:line="264" w:lineRule="auto"/>
        <w:ind w:firstLine="480"/>
      </w:pPr>
      <w:r>
        <w:rPr>
          <w:rFonts w:ascii="Times New Roman" w:hAnsi="Times New Roman" w:eastAsia="宋体"/>
          <w:b w:val="0"/>
          <w:sz w:val="24"/>
        </w:rPr>
        <w:t>为了满足题目要求，扩展模型虽然按个人年龄和身高生成概率，但最终仍按BMI排序分组。在候选组中对各人的风险等权相加后选择共同孕周，而不是把年龄、身高全部固定在总体均值处。由此得到的是组内实际协变量分布上的平均条件方案。若未来同一BMI组的年龄、身高分布明显不同，组内平均风险与推荐时点也可能变化。</w:t>
      </w:r>
    </w:p>
    <w:p>
      <w:pPr>
        <w:spacing w:before="0" w:after="0" w:line="264" w:lineRule="auto"/>
        <w:ind w:firstLine="480"/>
      </w:pPr>
      <w:r>
        <w:rPr>
          <w:rFonts w:ascii="Times New Roman" w:hAnsi="Times New Roman" w:eastAsia="宋体"/>
          <w:b w:val="0"/>
          <w:sz w:val="24"/>
        </w:rPr>
        <w:t>表7采用与问题二完全相同的中延迟权重、4%阈值、每日网格和支持约束，展示基础扩展方案。有效三组人数为203、31、33，中间组推荐12周2天。图10展示多因素条件方案与不同风险情景的关系。与表5相比，切点和中间组孕周有所变化，但其变化不能单凭训练风险下降就解释为临床改进，因为外层预测没有显示稳定优势。</w:t>
      </w:r>
    </w:p>
    <w:p>
      <w:pPr>
        <w:spacing w:before="0" w:after="0" w:line="264" w:lineRule="auto"/>
        <w:ind w:firstLine="480"/>
      </w:pPr>
      <w:r>
        <w:rPr>
          <w:rFonts w:ascii="Times New Roman" w:hAnsi="Times New Roman" w:eastAsia="宋体"/>
          <w:b w:val="0"/>
          <w:sz w:val="24"/>
        </w:rPr>
        <w:t>表7 问题三基础扩展模型的BMI条件方案</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268"/>
        <w:gridCol w:w="2268"/>
        <w:gridCol w:w="2268"/>
        <w:gridCol w:w="2268"/>
      </w:tblGrid>
      <w:tr>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BMI区间（kg/m²）</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人数</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条件检测时点</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使用信息</w:t>
            </w:r>
          </w:p>
        </w:tc>
      </w:tr>
      <w:tr>
        <w:tc>
          <w:tcPr>
            <w:tcW w:type="dxa" w:w="2268"/>
          </w:tcPr>
          <w:p>
            <w:pPr>
              <w:spacing w:line="240" w:lineRule="auto"/>
              <w:jc w:val="center"/>
            </w:pPr>
            <w:r>
              <w:rPr>
                <w:sz w:val="20"/>
              </w:rPr>
            </w:r>
            <w:r>
              <w:rPr>
                <w:rFonts w:ascii="Times New Roman" w:hAnsi="Times New Roman" w:eastAsia="宋体"/>
                <w:b w:val="0"/>
                <w:sz w:val="20"/>
              </w:rPr>
              <w:t>[20.7031, 33.4115)</w:t>
            </w:r>
          </w:p>
        </w:tc>
        <w:tc>
          <w:tcPr>
            <w:tcW w:type="dxa" w:w="2268"/>
          </w:tcPr>
          <w:p>
            <w:pPr>
              <w:spacing w:line="240" w:lineRule="auto"/>
              <w:jc w:val="center"/>
            </w:pPr>
            <w:r>
              <w:rPr>
                <w:sz w:val="20"/>
              </w:rPr>
            </w:r>
            <w:r>
              <w:rPr>
                <w:rFonts w:ascii="Times New Roman" w:hAnsi="Times New Roman" w:eastAsia="宋体"/>
                <w:b w:val="0"/>
                <w:sz w:val="20"/>
              </w:rPr>
              <w:t>203</w:t>
            </w:r>
          </w:p>
        </w:tc>
        <w:tc>
          <w:tcPr>
            <w:tcW w:type="dxa" w:w="2268"/>
          </w:tcPr>
          <w:p>
            <w:pPr>
              <w:spacing w:line="240" w:lineRule="auto"/>
              <w:jc w:val="center"/>
            </w:pPr>
            <w:r>
              <w:rPr>
                <w:sz w:val="20"/>
              </w:rPr>
            </w:r>
            <w:r>
              <w:rPr>
                <w:rFonts w:ascii="Times New Roman" w:hAnsi="Times New Roman" w:eastAsia="宋体"/>
                <w:b w:val="0"/>
                <w:sz w:val="20"/>
              </w:rPr>
              <w:t>11周</w:t>
            </w:r>
          </w:p>
        </w:tc>
        <w:tc>
          <w:tcPr>
            <w:tcW w:type="dxa" w:w="2268"/>
          </w:tcPr>
          <w:p>
            <w:pPr>
              <w:spacing w:line="240" w:lineRule="auto"/>
              <w:jc w:val="center"/>
            </w:pPr>
            <w:r>
              <w:rPr>
                <w:sz w:val="20"/>
              </w:rPr>
            </w:r>
            <w:r>
              <w:rPr>
                <w:rFonts w:ascii="Times New Roman" w:hAnsi="Times New Roman" w:eastAsia="宋体"/>
                <w:b w:val="0"/>
                <w:sz w:val="20"/>
              </w:rPr>
              <w:t>BMI、年龄、身高</w:t>
            </w:r>
          </w:p>
        </w:tc>
      </w:tr>
      <w:tr>
        <w:tc>
          <w:tcPr>
            <w:tcW w:type="dxa" w:w="2268"/>
          </w:tcPr>
          <w:p>
            <w:pPr>
              <w:spacing w:line="240" w:lineRule="auto"/>
              <w:jc w:val="center"/>
            </w:pPr>
            <w:r>
              <w:rPr>
                <w:sz w:val="20"/>
              </w:rPr>
            </w:r>
            <w:r>
              <w:rPr>
                <w:rFonts w:ascii="Times New Roman" w:hAnsi="Times New Roman" w:eastAsia="宋体"/>
                <w:b w:val="0"/>
                <w:sz w:val="20"/>
              </w:rPr>
              <w:t>[33.4115, 35.0003)</w:t>
            </w:r>
          </w:p>
        </w:tc>
        <w:tc>
          <w:tcPr>
            <w:tcW w:type="dxa" w:w="2268"/>
          </w:tcPr>
          <w:p>
            <w:pPr>
              <w:spacing w:line="240" w:lineRule="auto"/>
              <w:jc w:val="center"/>
            </w:pPr>
            <w:r>
              <w:rPr>
                <w:sz w:val="20"/>
              </w:rPr>
            </w:r>
            <w:r>
              <w:rPr>
                <w:rFonts w:ascii="Times New Roman" w:hAnsi="Times New Roman" w:eastAsia="宋体"/>
                <w:b w:val="0"/>
                <w:sz w:val="20"/>
              </w:rPr>
              <w:t>31</w:t>
            </w:r>
          </w:p>
        </w:tc>
        <w:tc>
          <w:tcPr>
            <w:tcW w:type="dxa" w:w="2268"/>
          </w:tcPr>
          <w:p>
            <w:pPr>
              <w:spacing w:line="240" w:lineRule="auto"/>
              <w:jc w:val="center"/>
            </w:pPr>
            <w:r>
              <w:rPr>
                <w:sz w:val="20"/>
              </w:rPr>
            </w:r>
            <w:r>
              <w:rPr>
                <w:rFonts w:ascii="Times New Roman" w:hAnsi="Times New Roman" w:eastAsia="宋体"/>
                <w:b w:val="0"/>
                <w:sz w:val="20"/>
              </w:rPr>
              <w:t>12周2天</w:t>
            </w:r>
          </w:p>
        </w:tc>
        <w:tc>
          <w:tcPr>
            <w:tcW w:type="dxa" w:w="2268"/>
          </w:tcPr>
          <w:p>
            <w:pPr>
              <w:spacing w:line="240" w:lineRule="auto"/>
              <w:jc w:val="center"/>
            </w:pPr>
            <w:r>
              <w:rPr>
                <w:sz w:val="20"/>
              </w:rPr>
            </w:r>
            <w:r>
              <w:rPr>
                <w:rFonts w:ascii="Times New Roman" w:hAnsi="Times New Roman" w:eastAsia="宋体"/>
                <w:b w:val="0"/>
                <w:sz w:val="20"/>
              </w:rPr>
              <w:t>同上</w:t>
            </w:r>
          </w:p>
        </w:tc>
      </w:tr>
      <w:tr>
        <w:tc>
          <w:tcPr>
            <w:tcW w:type="dxa" w:w="2268"/>
          </w:tcPr>
          <w:p>
            <w:pPr>
              <w:spacing w:line="240" w:lineRule="auto"/>
              <w:jc w:val="center"/>
            </w:pPr>
            <w:r>
              <w:rPr>
                <w:sz w:val="20"/>
              </w:rPr>
            </w:r>
            <w:r>
              <w:rPr>
                <w:rFonts w:ascii="Times New Roman" w:hAnsi="Times New Roman" w:eastAsia="宋体"/>
                <w:b w:val="0"/>
                <w:sz w:val="20"/>
              </w:rPr>
              <w:t>[35.0003, 46.8750]</w:t>
            </w:r>
          </w:p>
        </w:tc>
        <w:tc>
          <w:tcPr>
            <w:tcW w:type="dxa" w:w="2268"/>
          </w:tcPr>
          <w:p>
            <w:pPr>
              <w:spacing w:line="240" w:lineRule="auto"/>
              <w:jc w:val="center"/>
            </w:pPr>
            <w:r>
              <w:rPr>
                <w:sz w:val="20"/>
              </w:rPr>
            </w:r>
            <w:r>
              <w:rPr>
                <w:rFonts w:ascii="Times New Roman" w:hAnsi="Times New Roman" w:eastAsia="宋体"/>
                <w:b w:val="0"/>
                <w:sz w:val="20"/>
              </w:rPr>
              <w:t>33</w:t>
            </w:r>
          </w:p>
        </w:tc>
        <w:tc>
          <w:tcPr>
            <w:tcW w:type="dxa" w:w="2268"/>
          </w:tcPr>
          <w:p>
            <w:pPr>
              <w:spacing w:line="240" w:lineRule="auto"/>
              <w:jc w:val="center"/>
            </w:pPr>
            <w:r>
              <w:rPr>
                <w:sz w:val="20"/>
              </w:rPr>
            </w:r>
            <w:r>
              <w:rPr>
                <w:rFonts w:ascii="Times New Roman" w:hAnsi="Times New Roman" w:eastAsia="宋体"/>
                <w:b w:val="0"/>
                <w:sz w:val="20"/>
              </w:rPr>
              <w:t>12周6天</w:t>
            </w:r>
          </w:p>
        </w:tc>
        <w:tc>
          <w:tcPr>
            <w:tcW w:type="dxa" w:w="2268"/>
          </w:tcPr>
          <w:p>
            <w:pPr>
              <w:spacing w:line="240" w:lineRule="auto"/>
              <w:jc w:val="center"/>
            </w:pPr>
            <w:r>
              <w:rPr>
                <w:sz w:val="20"/>
              </w:rPr>
            </w:r>
            <w:r>
              <w:rPr>
                <w:rFonts w:ascii="Times New Roman" w:hAnsi="Times New Roman" w:eastAsia="宋体"/>
                <w:b w:val="0"/>
                <w:sz w:val="20"/>
              </w:rPr>
              <w:t>同上</w:t>
            </w:r>
          </w:p>
        </w:tc>
      </w:tr>
    </w:tbl>
    <w:p>
      <w:pPr>
        <w:spacing w:before="0" w:after="0" w:line="300" w:lineRule="auto"/>
        <w:jc w:val="center"/>
      </w:pPr>
      <w:r>
        <w:drawing>
          <wp:inline xmlns:a="http://schemas.openxmlformats.org/drawingml/2006/main" xmlns:pic="http://schemas.openxmlformats.org/drawingml/2006/picture">
            <wp:extent cx="5472000" cy="310080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72000" cy="3100800"/>
                    </a:xfrm>
                    <a:prstGeom prst="rect"/>
                  </pic:spPr>
                </pic:pic>
              </a:graphicData>
            </a:graphic>
          </wp:inline>
        </w:drawing>
      </w:r>
    </w:p>
    <w:p>
      <w:pPr>
        <w:spacing w:before="0" w:after="0" w:line="300" w:lineRule="auto"/>
        <w:jc w:val="center"/>
      </w:pPr>
      <w:r>
        <w:rPr>
          <w:rFonts w:ascii="Times New Roman" w:hAnsi="Times New Roman" w:eastAsia="宋体"/>
          <w:b w:val="0"/>
          <w:sz w:val="20"/>
        </w:rPr>
        <w:t>图10 多因素模型的BMI条件时点与风险情景</w:t>
      </w:r>
    </w:p>
    <w:p>
      <w:pPr>
        <w:spacing w:before="0" w:after="0" w:line="264" w:lineRule="auto"/>
        <w:ind w:firstLine="480"/>
      </w:pPr>
      <w:r>
        <w:rPr>
          <w:rFonts w:ascii="Times New Roman" w:hAnsi="Times New Roman" w:eastAsia="宋体"/>
          <w:b w:val="0"/>
          <w:sz w:val="24"/>
        </w:rPr>
        <w:t>问题三的结论不是必须用多因素替代BMI方案，而是给出一个已明确构造、可检验的扩展解，并说明其增益尚不稳定。若首条年龄、身高信息可靠且希望考虑组内人群差异，可把表7作为条件方案；若强调简洁与解释，表5仍有保留理由。两者均需结合下一节的敏感性分析，而不能选取视觉上更整齐的一组切点作为唯一答案。</w:t>
      </w:r>
    </w:p>
    <w:p>
      <w:pPr>
        <w:pageBreakBefore w:val="0"/>
        <w:spacing w:before="0" w:after="0" w:line="300" w:lineRule="auto"/>
        <w:jc w:val="center"/>
      </w:pPr>
      <w:r>
        <w:rPr>
          <w:rFonts w:ascii="Times New Roman" w:hAnsi="Times New Roman" w:eastAsia="宋体"/>
          <w:b/>
          <w:sz w:val="32"/>
        </w:rPr>
        <w:t>6 检测误差与决策敏感性</w:t>
      </w:r>
    </w:p>
    <w:p>
      <w:pPr>
        <w:spacing w:before="0" w:after="0" w:line="300" w:lineRule="auto"/>
      </w:pPr>
      <w:r>
        <w:rPr>
          <w:rFonts w:ascii="Times New Roman" w:hAnsi="Times New Roman" w:eastAsia="宋体"/>
          <w:b w:val="0"/>
          <w:sz w:val="28"/>
        </w:rPr>
        <w:t>6.1 同次抽血重复测序的误差尺度</w:t>
      </w:r>
    </w:p>
    <w:p>
      <w:pPr>
        <w:spacing w:before="0" w:after="0" w:line="264" w:lineRule="auto"/>
        <w:ind w:firstLine="480"/>
      </w:pPr>
      <w:r>
        <w:rPr>
          <w:rFonts w:ascii="Times New Roman" w:hAnsi="Times New Roman" w:eastAsia="宋体"/>
          <w:b w:val="0"/>
          <w:sz w:val="24"/>
        </w:rPr>
        <w:t>检测浓度的波动可能来自个体状态变化、抽血间隔及测序过程。为尽量减少孕周变化的混入，本文按孕妇、检测日期、抽血次数和孕周识别同次抽血重复测序组，共得到18组，涉及14名孕妇，每组两条记录。在logit浓度尺度上，使用组内平方和除以组内自由度估计波动方差，公式见式（8）。</w:t>
      </w:r>
    </w:p>
    <w:p>
      <w:pPr>
        <w:spacing w:before="0" w:after="0" w:line="300" w:lineRule="auto"/>
        <w:jc w:val="center"/>
      </w:pPr>
      <m:oMathPara>
        <m:oMath>
          <m:sSubSup>
            <m:e>
              <m:acc>
                <m:accPr>
                  <m:chr m:val="̂"/>
                </m:accPr>
                <m:e>
                  <m:r>
                    <m:t>σ</m:t>
                  </m:r>
                </m:e>
              </m:acc>
            </m:e>
            <m:sub>
              <m:r>
                <m:t>m</m:t>
              </m:r>
            </m:sub>
            <m:sup>
              <m:r>
                <m:t>2</m:t>
              </m:r>
            </m:sup>
          </m:sSubSup>
          <m:r>
            <m:t>=</m:t>
          </m:r>
          <m:f>
            <m:num>
              <m:sSub>
                <m:e>
                  <m:r>
                    <m:t>∑</m:t>
                  </m:r>
                </m:e>
                <m:sub>
                  <m:r>
                    <m:t>g</m:t>
                  </m:r>
                </m:sub>
              </m:sSub>
              <m:sSubSup>
                <m:e>
                  <m:r>
                    <m:t>∑</m:t>
                  </m:r>
                </m:e>
                <m:sub>
                  <m:r>
                    <m:t>j=1</m:t>
                  </m:r>
                </m:sub>
                <m:sup>
                  <m:sSub>
                    <m:e>
                      <m:r>
                        <m:t>n</m:t>
                      </m:r>
                    </m:e>
                    <m:sub>
                      <m:r>
                        <m:t>g</m:t>
                      </m:r>
                    </m:sub>
                  </m:sSub>
                </m:sup>
              </m:sSubSup>
              <m:sSub>
                <m:e>
                  <m:r>
                    <m:t>(z</m:t>
                  </m:r>
                </m:e>
                <m:sub>
                  <m:r>
                    <m:t>gj</m:t>
                  </m:r>
                </m:sub>
              </m:sSub>
              <m:r>
                <m:t>-</m:t>
              </m:r>
              <m:sSub>
                <m:e>
                  <m:acc>
                    <m:accPr>
                      <m:chr m:val="̅"/>
                    </m:accPr>
                    <m:e>
                      <m:r>
                        <m:t>z</m:t>
                      </m:r>
                    </m:e>
                  </m:acc>
                </m:e>
                <m:sub>
                  <m:r>
                    <m:t>g</m:t>
                  </m:r>
                </m:sub>
              </m:sSub>
              <m:sSup>
                <m:e>
                  <m:r>
                    <m:t>)</m:t>
                  </m:r>
                </m:e>
                <m:sup>
                  <m:r>
                    <m:t>2</m:t>
                  </m:r>
                </m:sup>
              </m:sSup>
            </m:num>
            <m:den>
              <m:sSub>
                <m:e>
                  <m:r>
                    <m:t>∑</m:t>
                  </m:r>
                </m:e>
                <m:sub>
                  <m:r>
                    <m:t>g</m:t>
                  </m:r>
                </m:sub>
              </m:sSub>
              <m:sSub>
                <m:e>
                  <m:r>
                    <m:t>(n</m:t>
                  </m:r>
                </m:e>
                <m:sub>
                  <m:r>
                    <m:t>g</m:t>
                  </m:r>
                </m:sub>
              </m:sSub>
              <m:r>
                <m:t>-1)</m:t>
              </m:r>
            </m:den>
          </m:f>
          <m:r>
            <m:t xml:space="preserve"> </m:t>
          </m:r>
          <m:r>
            <m:t xml:space="preserve">  </m:t>
          </m:r>
          <m:r>
            <m:t xml:space="preserve"> (8)</m:t>
          </m:r>
        </m:oMath>
      </m:oMathPara>
    </w:p>
    <w:p>
      <w:pPr>
        <w:spacing w:before="0" w:after="0" w:line="264" w:lineRule="auto"/>
        <w:ind w:firstLine="480"/>
      </w:pPr>
      <w:r>
        <w:rPr>
          <w:rFonts w:ascii="Times New Roman" w:hAnsi="Times New Roman" w:eastAsia="宋体"/>
          <w:b w:val="0"/>
          <w:sz w:val="24"/>
        </w:rPr>
        <w:t>结果为σₘ=0.123745。对于每组两次测序，组内平方和已经等于两次差值平方的一半，不能再额外除以2，否则会低估方差。按14名孕妇进行2000次重采样，尺度区间约为0.08175至0.16770。由于只有14个独立主体，该区间并不包含所有平台误差来源，也不能证明其他人群具有相同测量精度。</w:t>
      </w:r>
    </w:p>
    <w:p>
      <w:pPr>
        <w:spacing w:before="0" w:after="0" w:line="264" w:lineRule="auto"/>
        <w:ind w:firstLine="480"/>
      </w:pPr>
      <w:r>
        <w:rPr>
          <w:rFonts w:ascii="Times New Roman" w:hAnsi="Times New Roman" w:eastAsia="宋体"/>
          <w:b w:val="0"/>
          <w:sz w:val="24"/>
        </w:rPr>
        <w:t>采用重采样的基本思想是从样本经验分布近似研究估计量波动[4]；在当前重复测量情形中，重采样单位选择孕妇而非单条记录，是为了保留个体内相关性。技术重复并不一定具有完全相同的实验条件，因此σₘ更稳妥的名称是“同次抽血组内波动尺度”，而不是仪器纯误差标准差。正文不将这一有限估计推广为整个NIPT系统的精度标准。</w:t>
      </w:r>
    </w:p>
    <w:p>
      <w:pPr>
        <w:spacing w:before="0" w:after="0" w:line="300" w:lineRule="auto"/>
      </w:pPr>
      <w:r>
        <w:rPr>
          <w:rFonts w:ascii="Times New Roman" w:hAnsi="Times New Roman" w:eastAsia="宋体"/>
          <w:b w:val="0"/>
          <w:sz w:val="28"/>
        </w:rPr>
        <w:t>6.2 主体重采样与追加噪声设计</w:t>
      </w:r>
    </w:p>
    <w:p>
      <w:pPr>
        <w:spacing w:before="0" w:after="0" w:line="264" w:lineRule="auto"/>
        <w:ind w:firstLine="480"/>
      </w:pPr>
      <w:r>
        <w:rPr>
          <w:rFonts w:ascii="Times New Roman" w:hAnsi="Times New Roman" w:eastAsia="宋体"/>
          <w:b w:val="0"/>
          <w:sz w:val="24"/>
        </w:rPr>
        <w:t>从267名男胎孕妇中有放回抽取主体，保留抽中主体的全部记录。每个抽样槽位赋予独立编号，使同一原始孕妇被抽中两次时代表两个重采样主体，而不会在随机效应模型中被错误合并。Q2与基础扩展使用相同主体样本和相同噪声，形成配对比较。对logit浓度追加式（9）的随机扰动，再反变换并重新生成阈值标签。</w:t>
      </w:r>
    </w:p>
    <w:p>
      <w:pPr>
        <w:spacing w:before="0" w:after="0" w:line="300" w:lineRule="auto"/>
        <w:jc w:val="center"/>
      </w:pPr>
      <m:oMathPara>
        <m:oMath>
          <m:sSubSup>
            <m:e>
              <m:r>
                <m:t>z</m:t>
              </m:r>
            </m:e>
            <m:sub>
              <m:r>
                <m:t>ij</m:t>
              </m:r>
            </m:sub>
            <m:sup>
              <m:r>
                <m:t>*</m:t>
              </m:r>
            </m:sup>
          </m:sSubSup>
          <m:sSub>
            <m:e>
              <m:r>
                <m:t>=z</m:t>
              </m:r>
            </m:e>
            <m:sub>
              <m:r>
                <m:t>ij</m:t>
              </m:r>
            </m:sub>
          </m:sSub>
          <m:r>
            <m:t>+c</m:t>
          </m:r>
          <m:sSub>
            <m:e>
              <m:acc>
                <m:accPr>
                  <m:chr m:val="̂"/>
                </m:accPr>
                <m:e>
                  <m:r>
                    <m:t>σ</m:t>
                  </m:r>
                </m:e>
              </m:acc>
            </m:e>
            <m:sub>
              <m:r>
                <m:t>m</m:t>
              </m:r>
            </m:sub>
          </m:sSub>
          <m:sSub>
            <m:e>
              <m:r>
                <m:t>ξ</m:t>
              </m:r>
            </m:e>
            <m:sub>
              <m:r>
                <m:t>ij</m:t>
              </m:r>
            </m:sub>
          </m:sSub>
          <m:r>
            <m:t>,</m:t>
          </m:r>
          <m:r>
            <m:t xml:space="preserve">    </m:t>
          </m:r>
          <m:r>
            <m:t xml:space="preserve"> </m:t>
          </m:r>
          <m:sSub>
            <m:e>
              <m:r>
                <m:t>ξ</m:t>
              </m:r>
            </m:e>
            <m:sub>
              <m:r>
                <m:t>ij</m:t>
              </m:r>
            </m:sub>
          </m:sSub>
          <m:r>
            <m:t>∼</m:t>
          </m:r>
          <m:r>
            <m:t xml:space="preserve"> N(0,1),</m:t>
          </m:r>
          <m:r>
            <m:t xml:space="preserve">  </m:t>
          </m:r>
          <m:r>
            <m:t xml:space="preserve"> c</m:t>
          </m:r>
          <m:r>
            <m:t>∈</m:t>
          </m:r>
          <m:r>
            <m:t>{</m:t>
          </m:r>
          <m:r>
            <m:t>0,0.5,1,1.5</m:t>
          </m:r>
          <m:r>
            <m:t>}</m:t>
          </m:r>
          <m:r>
            <m:t xml:space="preserve"> </m:t>
          </m:r>
          <m:r>
            <m:t xml:space="preserve">  </m:t>
          </m:r>
          <m:r>
            <m:t xml:space="preserve"> (9)</m:t>
          </m:r>
        </m:oMath>
      </m:oMathPara>
    </w:p>
    <w:p>
      <w:pPr>
        <w:spacing w:before="0" w:after="0" w:line="264" w:lineRule="auto"/>
        <w:ind w:firstLine="480"/>
      </w:pPr>
      <w:r>
        <w:rPr>
          <w:rFonts w:ascii="Times New Roman" w:hAnsi="Times New Roman" w:eastAsia="宋体"/>
          <w:b w:val="0"/>
          <w:sz w:val="24"/>
        </w:rPr>
        <w:t>这里c=0仍包含主体重采样，只是不追加测量噪声；它不是完全不变的原始数据。c=1也不是对真实误差作了一次正确校正，而是在现有、已经带误差的观测上额外增加一个估计尺度的扰动。该试验检验方案对额外波动的敏感程度，不能用于估计去误差后的真实达标轨迹。阈值附近的记录容易因扰动翻转标签，远离阈值的记录通常较稳定。</w:t>
      </w:r>
    </w:p>
    <w:p>
      <w:pPr>
        <w:spacing w:before="0" w:after="0" w:line="264" w:lineRule="auto"/>
        <w:ind w:firstLine="480"/>
      </w:pPr>
      <w:r>
        <w:rPr>
          <w:rFonts w:ascii="Times New Roman" w:hAnsi="Times New Roman" w:eastAsia="宋体"/>
          <w:b w:val="0"/>
          <w:sz w:val="24"/>
        </w:rPr>
        <w:t>共完成20轮重采样、4个噪声水平和2个概率规格，得到160次拟合及640个四组情景策略，没有拟合失败。优化梯度和数值积分差异均通过预设容差检查。20轮适合探索易变方向和发现极端方案，但不够支持尾部概率的精细估计，因此下表给出中位数与实际最小—最大范围，不把它标为95%置信区间。</w:t>
      </w:r>
    </w:p>
    <w:p>
      <w:pPr>
        <w:spacing w:before="0" w:after="0" w:line="300" w:lineRule="auto"/>
      </w:pPr>
      <w:r>
        <w:rPr>
          <w:rFonts w:ascii="Times New Roman" w:hAnsi="Times New Roman" w:eastAsia="宋体"/>
          <w:b w:val="0"/>
          <w:sz w:val="28"/>
        </w:rPr>
        <w:t>6.3 噪声结果及解释</w:t>
      </w:r>
    </w:p>
    <w:p>
      <w:pPr>
        <w:spacing w:before="0" w:after="0" w:line="264" w:lineRule="auto"/>
        <w:ind w:firstLine="480"/>
      </w:pPr>
      <w:r>
        <w:rPr>
          <w:rFonts w:ascii="Times New Roman" w:hAnsi="Times New Roman" w:eastAsia="宋体"/>
          <w:b w:val="0"/>
          <w:sz w:val="24"/>
        </w:rPr>
        <w:t>表8展示低延迟情景下每轮“主体平均推荐孕周”的汇总。它是整套策略对抽样主体的平均值，不是某一BMI组的孕周，也不是首次达标时间平均值。Q2在无追加噪声时的中位数约14.95周，范围12.86至23.82周；追加一个尺度后中位数约14.43周，范围扩展至12.08至25周。基础扩展具有类似的广泛波动。不同噪声尺度下中位数并非单调，不能总结成“误差越大就应越早检测”。</w:t>
      </w:r>
    </w:p>
    <w:p>
      <w:pPr>
        <w:spacing w:before="0" w:after="0" w:line="264" w:lineRule="auto"/>
        <w:ind w:firstLine="480"/>
      </w:pPr>
      <w:r>
        <w:rPr>
          <w:rFonts w:ascii="Times New Roman" w:hAnsi="Times New Roman" w:eastAsia="宋体"/>
          <w:b w:val="0"/>
          <w:sz w:val="24"/>
        </w:rPr>
        <w:t>表8 低延迟情景下主体平均推荐孕周的20轮分布</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268"/>
        <w:gridCol w:w="2268"/>
        <w:gridCol w:w="2268"/>
        <w:gridCol w:w="2268"/>
      </w:tblGrid>
      <w:tr>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模型</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追加噪声倍数</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中位数／周</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实际范围／周</w:t>
            </w:r>
          </w:p>
        </w:tc>
      </w:tr>
      <w:tr>
        <w:tc>
          <w:tcPr>
            <w:tcW w:type="dxa" w:w="2268"/>
          </w:tcPr>
          <w:p>
            <w:pPr>
              <w:spacing w:line="240" w:lineRule="auto"/>
              <w:jc w:val="center"/>
            </w:pPr>
            <w:r>
              <w:rPr>
                <w:sz w:val="20"/>
              </w:rPr>
            </w:r>
            <w:r>
              <w:rPr>
                <w:rFonts w:ascii="Times New Roman" w:hAnsi="Times New Roman" w:eastAsia="宋体"/>
                <w:b w:val="0"/>
                <w:sz w:val="20"/>
              </w:rPr>
              <w:t>Q2</w:t>
            </w:r>
          </w:p>
        </w:tc>
        <w:tc>
          <w:tcPr>
            <w:tcW w:type="dxa" w:w="2268"/>
          </w:tcPr>
          <w:p>
            <w:pPr>
              <w:spacing w:line="240" w:lineRule="auto"/>
              <w:jc w:val="center"/>
            </w:pPr>
            <w:r>
              <w:rPr>
                <w:sz w:val="20"/>
              </w:rPr>
            </w:r>
            <w:r>
              <w:rPr>
                <w:rFonts w:ascii="Times New Roman" w:hAnsi="Times New Roman" w:eastAsia="宋体"/>
                <w:b w:val="0"/>
                <w:sz w:val="20"/>
              </w:rPr>
              <w:t>0</w:t>
            </w:r>
          </w:p>
        </w:tc>
        <w:tc>
          <w:tcPr>
            <w:tcW w:type="dxa" w:w="2268"/>
          </w:tcPr>
          <w:p>
            <w:pPr>
              <w:spacing w:line="240" w:lineRule="auto"/>
              <w:jc w:val="center"/>
            </w:pPr>
            <w:r>
              <w:rPr>
                <w:sz w:val="20"/>
              </w:rPr>
            </w:r>
            <w:r>
              <w:rPr>
                <w:rFonts w:ascii="Times New Roman" w:hAnsi="Times New Roman" w:eastAsia="宋体"/>
                <w:b w:val="0"/>
                <w:sz w:val="20"/>
              </w:rPr>
              <w:t>14.95</w:t>
            </w:r>
          </w:p>
        </w:tc>
        <w:tc>
          <w:tcPr>
            <w:tcW w:type="dxa" w:w="2268"/>
          </w:tcPr>
          <w:p>
            <w:pPr>
              <w:spacing w:line="240" w:lineRule="auto"/>
              <w:jc w:val="center"/>
            </w:pPr>
            <w:r>
              <w:rPr>
                <w:sz w:val="20"/>
              </w:rPr>
            </w:r>
            <w:r>
              <w:rPr>
                <w:rFonts w:ascii="Times New Roman" w:hAnsi="Times New Roman" w:eastAsia="宋体"/>
                <w:b w:val="0"/>
                <w:sz w:val="20"/>
              </w:rPr>
              <w:t>12.86—23.82</w:t>
            </w:r>
          </w:p>
        </w:tc>
      </w:tr>
      <w:tr>
        <w:tc>
          <w:tcPr>
            <w:tcW w:type="dxa" w:w="2268"/>
          </w:tcPr>
          <w:p>
            <w:pPr>
              <w:spacing w:line="240" w:lineRule="auto"/>
              <w:jc w:val="center"/>
            </w:pPr>
            <w:r>
              <w:rPr>
                <w:sz w:val="20"/>
              </w:rPr>
            </w:r>
            <w:r>
              <w:rPr>
                <w:rFonts w:ascii="Times New Roman" w:hAnsi="Times New Roman" w:eastAsia="宋体"/>
                <w:b w:val="0"/>
                <w:sz w:val="20"/>
              </w:rPr>
              <w:t>Q2</w:t>
            </w:r>
          </w:p>
        </w:tc>
        <w:tc>
          <w:tcPr>
            <w:tcW w:type="dxa" w:w="2268"/>
          </w:tcPr>
          <w:p>
            <w:pPr>
              <w:spacing w:line="240" w:lineRule="auto"/>
              <w:jc w:val="center"/>
            </w:pPr>
            <w:r>
              <w:rPr>
                <w:sz w:val="20"/>
              </w:rPr>
            </w:r>
            <w:r>
              <w:rPr>
                <w:rFonts w:ascii="Times New Roman" w:hAnsi="Times New Roman" w:eastAsia="宋体"/>
                <w:b w:val="0"/>
                <w:sz w:val="20"/>
              </w:rPr>
              <w:t>0.5</w:t>
            </w:r>
          </w:p>
        </w:tc>
        <w:tc>
          <w:tcPr>
            <w:tcW w:type="dxa" w:w="2268"/>
          </w:tcPr>
          <w:p>
            <w:pPr>
              <w:spacing w:line="240" w:lineRule="auto"/>
              <w:jc w:val="center"/>
            </w:pPr>
            <w:r>
              <w:rPr>
                <w:sz w:val="20"/>
              </w:rPr>
            </w:r>
            <w:r>
              <w:rPr>
                <w:rFonts w:ascii="Times New Roman" w:hAnsi="Times New Roman" w:eastAsia="宋体"/>
                <w:b w:val="0"/>
                <w:sz w:val="20"/>
              </w:rPr>
              <w:t>15.02</w:t>
            </w:r>
          </w:p>
        </w:tc>
        <w:tc>
          <w:tcPr>
            <w:tcW w:type="dxa" w:w="2268"/>
          </w:tcPr>
          <w:p>
            <w:pPr>
              <w:spacing w:line="240" w:lineRule="auto"/>
              <w:jc w:val="center"/>
            </w:pPr>
            <w:r>
              <w:rPr>
                <w:sz w:val="20"/>
              </w:rPr>
            </w:r>
            <w:r>
              <w:rPr>
                <w:rFonts w:ascii="Times New Roman" w:hAnsi="Times New Roman" w:eastAsia="宋体"/>
                <w:b w:val="0"/>
                <w:sz w:val="20"/>
              </w:rPr>
              <w:t>12.81—23.82</w:t>
            </w:r>
          </w:p>
        </w:tc>
      </w:tr>
      <w:tr>
        <w:tc>
          <w:tcPr>
            <w:tcW w:type="dxa" w:w="2268"/>
          </w:tcPr>
          <w:p>
            <w:pPr>
              <w:spacing w:line="240" w:lineRule="auto"/>
              <w:jc w:val="center"/>
            </w:pPr>
            <w:r>
              <w:rPr>
                <w:sz w:val="20"/>
              </w:rPr>
            </w:r>
            <w:r>
              <w:rPr>
                <w:rFonts w:ascii="Times New Roman" w:hAnsi="Times New Roman" w:eastAsia="宋体"/>
                <w:b w:val="0"/>
                <w:sz w:val="20"/>
              </w:rPr>
              <w:t>Q2</w:t>
            </w:r>
          </w:p>
        </w:tc>
        <w:tc>
          <w:tcPr>
            <w:tcW w:type="dxa" w:w="2268"/>
          </w:tcPr>
          <w:p>
            <w:pPr>
              <w:spacing w:line="240" w:lineRule="auto"/>
              <w:jc w:val="center"/>
            </w:pPr>
            <w:r>
              <w:rPr>
                <w:sz w:val="20"/>
              </w:rPr>
            </w:r>
            <w:r>
              <w:rPr>
                <w:rFonts w:ascii="Times New Roman" w:hAnsi="Times New Roman" w:eastAsia="宋体"/>
                <w:b w:val="0"/>
                <w:sz w:val="20"/>
              </w:rPr>
              <w:t>1</w:t>
            </w:r>
          </w:p>
        </w:tc>
        <w:tc>
          <w:tcPr>
            <w:tcW w:type="dxa" w:w="2268"/>
          </w:tcPr>
          <w:p>
            <w:pPr>
              <w:spacing w:line="240" w:lineRule="auto"/>
              <w:jc w:val="center"/>
            </w:pPr>
            <w:r>
              <w:rPr>
                <w:sz w:val="20"/>
              </w:rPr>
            </w:r>
            <w:r>
              <w:rPr>
                <w:rFonts w:ascii="Times New Roman" w:hAnsi="Times New Roman" w:eastAsia="宋体"/>
                <w:b w:val="0"/>
                <w:sz w:val="20"/>
              </w:rPr>
              <w:t>14.43</w:t>
            </w:r>
          </w:p>
        </w:tc>
        <w:tc>
          <w:tcPr>
            <w:tcW w:type="dxa" w:w="2268"/>
          </w:tcPr>
          <w:p>
            <w:pPr>
              <w:spacing w:line="240" w:lineRule="auto"/>
              <w:jc w:val="center"/>
            </w:pPr>
            <w:r>
              <w:rPr>
                <w:sz w:val="20"/>
              </w:rPr>
            </w:r>
            <w:r>
              <w:rPr>
                <w:rFonts w:ascii="Times New Roman" w:hAnsi="Times New Roman" w:eastAsia="宋体"/>
                <w:b w:val="0"/>
                <w:sz w:val="20"/>
              </w:rPr>
              <w:t>12.08—25.00</w:t>
            </w:r>
          </w:p>
        </w:tc>
      </w:tr>
      <w:tr>
        <w:tc>
          <w:tcPr>
            <w:tcW w:type="dxa" w:w="2268"/>
          </w:tcPr>
          <w:p>
            <w:pPr>
              <w:spacing w:line="240" w:lineRule="auto"/>
              <w:jc w:val="center"/>
            </w:pPr>
            <w:r>
              <w:rPr>
                <w:sz w:val="20"/>
              </w:rPr>
            </w:r>
            <w:r>
              <w:rPr>
                <w:rFonts w:ascii="Times New Roman" w:hAnsi="Times New Roman" w:eastAsia="宋体"/>
                <w:b w:val="0"/>
                <w:sz w:val="20"/>
              </w:rPr>
              <w:t>Q2</w:t>
            </w:r>
          </w:p>
        </w:tc>
        <w:tc>
          <w:tcPr>
            <w:tcW w:type="dxa" w:w="2268"/>
          </w:tcPr>
          <w:p>
            <w:pPr>
              <w:spacing w:line="240" w:lineRule="auto"/>
              <w:jc w:val="center"/>
            </w:pPr>
            <w:r>
              <w:rPr>
                <w:sz w:val="20"/>
              </w:rPr>
            </w:r>
            <w:r>
              <w:rPr>
                <w:rFonts w:ascii="Times New Roman" w:hAnsi="Times New Roman" w:eastAsia="宋体"/>
                <w:b w:val="0"/>
                <w:sz w:val="20"/>
              </w:rPr>
              <w:t>1.5</w:t>
            </w:r>
          </w:p>
        </w:tc>
        <w:tc>
          <w:tcPr>
            <w:tcW w:type="dxa" w:w="2268"/>
          </w:tcPr>
          <w:p>
            <w:pPr>
              <w:spacing w:line="240" w:lineRule="auto"/>
              <w:jc w:val="center"/>
            </w:pPr>
            <w:r>
              <w:rPr>
                <w:sz w:val="20"/>
              </w:rPr>
            </w:r>
            <w:r>
              <w:rPr>
                <w:rFonts w:ascii="Times New Roman" w:hAnsi="Times New Roman" w:eastAsia="宋体"/>
                <w:b w:val="0"/>
                <w:sz w:val="20"/>
              </w:rPr>
              <w:t>14.77</w:t>
            </w:r>
          </w:p>
        </w:tc>
        <w:tc>
          <w:tcPr>
            <w:tcW w:type="dxa" w:w="2268"/>
          </w:tcPr>
          <w:p>
            <w:pPr>
              <w:spacing w:line="240" w:lineRule="auto"/>
              <w:jc w:val="center"/>
            </w:pPr>
            <w:r>
              <w:rPr>
                <w:sz w:val="20"/>
              </w:rPr>
            </w:r>
            <w:r>
              <w:rPr>
                <w:rFonts w:ascii="Times New Roman" w:hAnsi="Times New Roman" w:eastAsia="宋体"/>
                <w:b w:val="0"/>
                <w:sz w:val="20"/>
              </w:rPr>
              <w:t>11.65—23.82</w:t>
            </w:r>
          </w:p>
        </w:tc>
      </w:tr>
      <w:tr>
        <w:tc>
          <w:tcPr>
            <w:tcW w:type="dxa" w:w="2268"/>
          </w:tcPr>
          <w:p>
            <w:pPr>
              <w:spacing w:line="240" w:lineRule="auto"/>
              <w:jc w:val="center"/>
            </w:pPr>
            <w:r>
              <w:rPr>
                <w:sz w:val="20"/>
              </w:rPr>
            </w:r>
            <w:r>
              <w:rPr>
                <w:rFonts w:ascii="Times New Roman" w:hAnsi="Times New Roman" w:eastAsia="宋体"/>
                <w:b w:val="0"/>
                <w:sz w:val="20"/>
              </w:rPr>
              <w:t>基础扩展</w:t>
            </w:r>
          </w:p>
        </w:tc>
        <w:tc>
          <w:tcPr>
            <w:tcW w:type="dxa" w:w="2268"/>
          </w:tcPr>
          <w:p>
            <w:pPr>
              <w:spacing w:line="240" w:lineRule="auto"/>
              <w:jc w:val="center"/>
            </w:pPr>
            <w:r>
              <w:rPr>
                <w:sz w:val="20"/>
              </w:rPr>
            </w:r>
            <w:r>
              <w:rPr>
                <w:rFonts w:ascii="Times New Roman" w:hAnsi="Times New Roman" w:eastAsia="宋体"/>
                <w:b w:val="0"/>
                <w:sz w:val="20"/>
              </w:rPr>
              <w:t>0</w:t>
            </w:r>
          </w:p>
        </w:tc>
        <w:tc>
          <w:tcPr>
            <w:tcW w:type="dxa" w:w="2268"/>
          </w:tcPr>
          <w:p>
            <w:pPr>
              <w:spacing w:line="240" w:lineRule="auto"/>
              <w:jc w:val="center"/>
            </w:pPr>
            <w:r>
              <w:rPr>
                <w:sz w:val="20"/>
              </w:rPr>
            </w:r>
            <w:r>
              <w:rPr>
                <w:rFonts w:ascii="Times New Roman" w:hAnsi="Times New Roman" w:eastAsia="宋体"/>
                <w:b w:val="0"/>
                <w:sz w:val="20"/>
              </w:rPr>
              <w:t>15.27</w:t>
            </w:r>
          </w:p>
        </w:tc>
        <w:tc>
          <w:tcPr>
            <w:tcW w:type="dxa" w:w="2268"/>
          </w:tcPr>
          <w:p>
            <w:pPr>
              <w:spacing w:line="240" w:lineRule="auto"/>
              <w:jc w:val="center"/>
            </w:pPr>
            <w:r>
              <w:rPr>
                <w:sz w:val="20"/>
              </w:rPr>
            </w:r>
            <w:r>
              <w:rPr>
                <w:rFonts w:ascii="Times New Roman" w:hAnsi="Times New Roman" w:eastAsia="宋体"/>
                <w:b w:val="0"/>
                <w:sz w:val="20"/>
              </w:rPr>
              <w:t>12.86—25.00</w:t>
            </w:r>
          </w:p>
        </w:tc>
      </w:tr>
      <w:tr>
        <w:tc>
          <w:tcPr>
            <w:tcW w:type="dxa" w:w="2268"/>
          </w:tcPr>
          <w:p>
            <w:pPr>
              <w:spacing w:line="240" w:lineRule="auto"/>
              <w:jc w:val="center"/>
            </w:pPr>
            <w:r>
              <w:rPr>
                <w:sz w:val="20"/>
              </w:rPr>
            </w:r>
            <w:r>
              <w:rPr>
                <w:rFonts w:ascii="Times New Roman" w:hAnsi="Times New Roman" w:eastAsia="宋体"/>
                <w:b w:val="0"/>
                <w:sz w:val="20"/>
              </w:rPr>
              <w:t>基础扩展</w:t>
            </w:r>
          </w:p>
        </w:tc>
        <w:tc>
          <w:tcPr>
            <w:tcW w:type="dxa" w:w="2268"/>
          </w:tcPr>
          <w:p>
            <w:pPr>
              <w:spacing w:line="240" w:lineRule="auto"/>
              <w:jc w:val="center"/>
            </w:pPr>
            <w:r>
              <w:rPr>
                <w:sz w:val="20"/>
              </w:rPr>
            </w:r>
            <w:r>
              <w:rPr>
                <w:rFonts w:ascii="Times New Roman" w:hAnsi="Times New Roman" w:eastAsia="宋体"/>
                <w:b w:val="0"/>
                <w:sz w:val="20"/>
              </w:rPr>
              <w:t>0.5</w:t>
            </w:r>
          </w:p>
        </w:tc>
        <w:tc>
          <w:tcPr>
            <w:tcW w:type="dxa" w:w="2268"/>
          </w:tcPr>
          <w:p>
            <w:pPr>
              <w:spacing w:line="240" w:lineRule="auto"/>
              <w:jc w:val="center"/>
            </w:pPr>
            <w:r>
              <w:rPr>
                <w:sz w:val="20"/>
              </w:rPr>
            </w:r>
            <w:r>
              <w:rPr>
                <w:rFonts w:ascii="Times New Roman" w:hAnsi="Times New Roman" w:eastAsia="宋体"/>
                <w:b w:val="0"/>
                <w:sz w:val="20"/>
              </w:rPr>
              <w:t>15.27</w:t>
            </w:r>
          </w:p>
        </w:tc>
        <w:tc>
          <w:tcPr>
            <w:tcW w:type="dxa" w:w="2268"/>
          </w:tcPr>
          <w:p>
            <w:pPr>
              <w:spacing w:line="240" w:lineRule="auto"/>
              <w:jc w:val="center"/>
            </w:pPr>
            <w:r>
              <w:rPr>
                <w:sz w:val="20"/>
              </w:rPr>
            </w:r>
            <w:r>
              <w:rPr>
                <w:rFonts w:ascii="Times New Roman" w:hAnsi="Times New Roman" w:eastAsia="宋体"/>
                <w:b w:val="0"/>
                <w:sz w:val="20"/>
              </w:rPr>
              <w:t>12.71—23.73</w:t>
            </w:r>
          </w:p>
        </w:tc>
      </w:tr>
      <w:tr>
        <w:tc>
          <w:tcPr>
            <w:tcW w:type="dxa" w:w="2268"/>
          </w:tcPr>
          <w:p>
            <w:pPr>
              <w:spacing w:line="240" w:lineRule="auto"/>
              <w:jc w:val="center"/>
            </w:pPr>
            <w:r>
              <w:rPr>
                <w:sz w:val="20"/>
              </w:rPr>
            </w:r>
            <w:r>
              <w:rPr>
                <w:rFonts w:ascii="Times New Roman" w:hAnsi="Times New Roman" w:eastAsia="宋体"/>
                <w:b w:val="0"/>
                <w:sz w:val="20"/>
              </w:rPr>
              <w:t>基础扩展</w:t>
            </w:r>
          </w:p>
        </w:tc>
        <w:tc>
          <w:tcPr>
            <w:tcW w:type="dxa" w:w="2268"/>
          </w:tcPr>
          <w:p>
            <w:pPr>
              <w:spacing w:line="240" w:lineRule="auto"/>
              <w:jc w:val="center"/>
            </w:pPr>
            <w:r>
              <w:rPr>
                <w:sz w:val="20"/>
              </w:rPr>
            </w:r>
            <w:r>
              <w:rPr>
                <w:rFonts w:ascii="Times New Roman" w:hAnsi="Times New Roman" w:eastAsia="宋体"/>
                <w:b w:val="0"/>
                <w:sz w:val="20"/>
              </w:rPr>
              <w:t>1</w:t>
            </w:r>
          </w:p>
        </w:tc>
        <w:tc>
          <w:tcPr>
            <w:tcW w:type="dxa" w:w="2268"/>
          </w:tcPr>
          <w:p>
            <w:pPr>
              <w:spacing w:line="240" w:lineRule="auto"/>
              <w:jc w:val="center"/>
            </w:pPr>
            <w:r>
              <w:rPr>
                <w:sz w:val="20"/>
              </w:rPr>
            </w:r>
            <w:r>
              <w:rPr>
                <w:rFonts w:ascii="Times New Roman" w:hAnsi="Times New Roman" w:eastAsia="宋体"/>
                <w:b w:val="0"/>
                <w:sz w:val="20"/>
              </w:rPr>
              <w:t>14.88</w:t>
            </w:r>
          </w:p>
        </w:tc>
        <w:tc>
          <w:tcPr>
            <w:tcW w:type="dxa" w:w="2268"/>
          </w:tcPr>
          <w:p>
            <w:pPr>
              <w:spacing w:line="240" w:lineRule="auto"/>
              <w:jc w:val="center"/>
            </w:pPr>
            <w:r>
              <w:rPr>
                <w:sz w:val="20"/>
              </w:rPr>
            </w:r>
            <w:r>
              <w:rPr>
                <w:rFonts w:ascii="Times New Roman" w:hAnsi="Times New Roman" w:eastAsia="宋体"/>
                <w:b w:val="0"/>
                <w:sz w:val="20"/>
              </w:rPr>
              <w:t>12.13—23.82</w:t>
            </w:r>
          </w:p>
        </w:tc>
      </w:tr>
      <w:tr>
        <w:tc>
          <w:tcPr>
            <w:tcW w:type="dxa" w:w="2268"/>
          </w:tcPr>
          <w:p>
            <w:pPr>
              <w:spacing w:line="240" w:lineRule="auto"/>
              <w:jc w:val="center"/>
            </w:pPr>
            <w:r>
              <w:rPr>
                <w:sz w:val="20"/>
              </w:rPr>
            </w:r>
            <w:r>
              <w:rPr>
                <w:rFonts w:ascii="Times New Roman" w:hAnsi="Times New Roman" w:eastAsia="宋体"/>
                <w:b w:val="0"/>
                <w:sz w:val="20"/>
              </w:rPr>
              <w:t>基础扩展</w:t>
            </w:r>
          </w:p>
        </w:tc>
        <w:tc>
          <w:tcPr>
            <w:tcW w:type="dxa" w:w="2268"/>
          </w:tcPr>
          <w:p>
            <w:pPr>
              <w:spacing w:line="240" w:lineRule="auto"/>
              <w:jc w:val="center"/>
            </w:pPr>
            <w:r>
              <w:rPr>
                <w:sz w:val="20"/>
              </w:rPr>
            </w:r>
            <w:r>
              <w:rPr>
                <w:rFonts w:ascii="Times New Roman" w:hAnsi="Times New Roman" w:eastAsia="宋体"/>
                <w:b w:val="0"/>
                <w:sz w:val="20"/>
              </w:rPr>
              <w:t>1.5</w:t>
            </w:r>
          </w:p>
        </w:tc>
        <w:tc>
          <w:tcPr>
            <w:tcW w:type="dxa" w:w="2268"/>
          </w:tcPr>
          <w:p>
            <w:pPr>
              <w:spacing w:line="240" w:lineRule="auto"/>
              <w:jc w:val="center"/>
            </w:pPr>
            <w:r>
              <w:rPr>
                <w:sz w:val="20"/>
              </w:rPr>
            </w:r>
            <w:r>
              <w:rPr>
                <w:rFonts w:ascii="Times New Roman" w:hAnsi="Times New Roman" w:eastAsia="宋体"/>
                <w:b w:val="0"/>
                <w:sz w:val="20"/>
              </w:rPr>
              <w:t>14.68</w:t>
            </w:r>
          </w:p>
        </w:tc>
        <w:tc>
          <w:tcPr>
            <w:tcW w:type="dxa" w:w="2268"/>
          </w:tcPr>
          <w:p>
            <w:pPr>
              <w:spacing w:line="240" w:lineRule="auto"/>
              <w:jc w:val="center"/>
            </w:pPr>
            <w:r>
              <w:rPr>
                <w:sz w:val="20"/>
              </w:rPr>
            </w:r>
            <w:r>
              <w:rPr>
                <w:rFonts w:ascii="Times New Roman" w:hAnsi="Times New Roman" w:eastAsia="宋体"/>
                <w:b w:val="0"/>
                <w:sz w:val="20"/>
              </w:rPr>
              <w:t>11.61—23.82</w:t>
            </w:r>
          </w:p>
        </w:tc>
      </w:tr>
    </w:tbl>
    <w:p>
      <w:pPr>
        <w:spacing w:before="0" w:after="0" w:line="264" w:lineRule="auto"/>
        <w:ind w:firstLine="480"/>
      </w:pPr>
      <w:r>
        <w:rPr>
          <w:rFonts w:ascii="Times New Roman" w:hAnsi="Times New Roman" w:eastAsia="宋体"/>
          <w:b w:val="0"/>
          <w:sz w:val="24"/>
        </w:rPr>
        <w:t>即使不追加噪声，主体重采样也能明显改变方案，说明不确定性不仅来自测量误差，还来自样本构成和模型估计。若只扰动预测结果而不重新拟合，可能遗漏这种结构变化；本试验在每轮重新拟合概率模型并重新分组，能够反映切点和共同孕周随数据变化的过程。但支持约束中的主体数在重采样时按抽样槽位计数，不能被误读为新获得了更多独立受试者。</w:t>
      </w:r>
    </w:p>
    <w:p>
      <w:pPr>
        <w:spacing w:before="0" w:after="0" w:line="300" w:lineRule="auto"/>
      </w:pPr>
      <w:r>
        <w:rPr>
          <w:rFonts w:ascii="Times New Roman" w:hAnsi="Times New Roman" w:eastAsia="宋体"/>
          <w:b w:val="0"/>
          <w:sz w:val="28"/>
        </w:rPr>
        <w:t>6.4 阈值与风险权重</w:t>
      </w:r>
    </w:p>
    <w:p>
      <w:pPr>
        <w:spacing w:before="0" w:after="0" w:line="264" w:lineRule="auto"/>
        <w:ind w:firstLine="480"/>
      </w:pPr>
      <w:r>
        <w:rPr>
          <w:rFonts w:ascii="Times New Roman" w:hAnsi="Times New Roman" w:eastAsia="宋体"/>
          <w:b w:val="0"/>
          <w:sz w:val="24"/>
        </w:rPr>
        <w:t>表9给出低延迟情景λ=0.005、δ=0.10下，Q2在不同阈值的条件结果。3.5%时所有主体合并为12周6天；4%时形成12周6天与25周两组；4.5%时仍为两种孕周，但早组人数降至38，晚组升至229。阈值改动不仅改变失败概率，也改变风险最小点，说明分组结论必须绑定阈值。</w:t>
      </w:r>
    </w:p>
    <w:p>
      <w:pPr>
        <w:spacing w:before="0" w:after="0" w:line="264" w:lineRule="auto"/>
        <w:ind w:firstLine="480"/>
      </w:pPr>
      <w:r>
        <w:rPr>
          <w:rFonts w:ascii="Times New Roman" w:hAnsi="Times New Roman" w:eastAsia="宋体"/>
          <w:b w:val="0"/>
          <w:sz w:val="24"/>
        </w:rPr>
        <w:t>表9 Q2低延迟情景的阈值敏感性</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814"/>
        <w:gridCol w:w="1814"/>
        <w:gridCol w:w="1814"/>
        <w:gridCol w:w="1814"/>
        <w:gridCol w:w="1814"/>
      </w:tblGrid>
      <w:tr>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浓度阈值</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有效组数</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内部BMI切点</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检测时点</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对应人数</w:t>
            </w:r>
          </w:p>
        </w:tc>
      </w:tr>
      <w:tr>
        <w:tc>
          <w:tcPr>
            <w:tcW w:type="dxa" w:w="1814"/>
          </w:tcPr>
          <w:p>
            <w:pPr>
              <w:spacing w:line="240" w:lineRule="auto"/>
              <w:jc w:val="center"/>
            </w:pPr>
            <w:r>
              <w:rPr>
                <w:sz w:val="20"/>
              </w:rPr>
            </w:r>
            <w:r>
              <w:rPr>
                <w:rFonts w:ascii="Times New Roman" w:hAnsi="Times New Roman" w:eastAsia="宋体"/>
                <w:b w:val="0"/>
                <w:sz w:val="20"/>
              </w:rPr>
              <w:t>3.5%</w:t>
            </w:r>
          </w:p>
        </w:tc>
        <w:tc>
          <w:tcPr>
            <w:tcW w:type="dxa" w:w="1814"/>
          </w:tcPr>
          <w:p>
            <w:pPr>
              <w:spacing w:line="240" w:lineRule="auto"/>
              <w:jc w:val="center"/>
            </w:pPr>
            <w:r>
              <w:rPr>
                <w:sz w:val="20"/>
              </w:rPr>
            </w:r>
            <w:r>
              <w:rPr>
                <w:rFonts w:ascii="Times New Roman" w:hAnsi="Times New Roman" w:eastAsia="宋体"/>
                <w:b w:val="0"/>
                <w:sz w:val="20"/>
              </w:rPr>
              <w:t>1</w:t>
            </w:r>
          </w:p>
        </w:tc>
        <w:tc>
          <w:tcPr>
            <w:tcW w:type="dxa" w:w="1814"/>
          </w:tcPr>
          <w:p>
            <w:pPr>
              <w:spacing w:line="240" w:lineRule="auto"/>
              <w:jc w:val="center"/>
            </w:pPr>
            <w:r>
              <w:rPr>
                <w:sz w:val="20"/>
              </w:rPr>
            </w:r>
            <w:r>
              <w:rPr>
                <w:rFonts w:ascii="Times New Roman" w:hAnsi="Times New Roman" w:eastAsia="宋体"/>
                <w:b w:val="0"/>
                <w:sz w:val="20"/>
              </w:rPr>
              <w:t>无</w:t>
            </w:r>
          </w:p>
        </w:tc>
        <w:tc>
          <w:tcPr>
            <w:tcW w:type="dxa" w:w="1814"/>
          </w:tcPr>
          <w:p>
            <w:pPr>
              <w:spacing w:line="240" w:lineRule="auto"/>
              <w:jc w:val="center"/>
            </w:pPr>
            <w:r>
              <w:rPr>
                <w:sz w:val="20"/>
              </w:rPr>
            </w:r>
            <w:r>
              <w:rPr>
                <w:rFonts w:ascii="Times New Roman" w:hAnsi="Times New Roman" w:eastAsia="宋体"/>
                <w:b w:val="0"/>
                <w:sz w:val="20"/>
              </w:rPr>
              <w:t>12周6天</w:t>
            </w:r>
          </w:p>
        </w:tc>
        <w:tc>
          <w:tcPr>
            <w:tcW w:type="dxa" w:w="1814"/>
          </w:tcPr>
          <w:p>
            <w:pPr>
              <w:spacing w:line="240" w:lineRule="auto"/>
              <w:jc w:val="center"/>
            </w:pPr>
            <w:r>
              <w:rPr>
                <w:sz w:val="20"/>
              </w:rPr>
            </w:r>
            <w:r>
              <w:rPr>
                <w:rFonts w:ascii="Times New Roman" w:hAnsi="Times New Roman" w:eastAsia="宋体"/>
                <w:b w:val="0"/>
                <w:sz w:val="20"/>
              </w:rPr>
              <w:t>267</w:t>
            </w:r>
          </w:p>
        </w:tc>
      </w:tr>
      <w:tr>
        <w:tc>
          <w:tcPr>
            <w:tcW w:type="dxa" w:w="1814"/>
          </w:tcPr>
          <w:p>
            <w:pPr>
              <w:spacing w:line="240" w:lineRule="auto"/>
              <w:jc w:val="center"/>
            </w:pPr>
            <w:r>
              <w:rPr>
                <w:sz w:val="20"/>
              </w:rPr>
            </w:r>
            <w:r>
              <w:rPr>
                <w:rFonts w:ascii="Times New Roman" w:hAnsi="Times New Roman" w:eastAsia="宋体"/>
                <w:b w:val="0"/>
                <w:sz w:val="20"/>
              </w:rPr>
              <w:t>4.0%</w:t>
            </w:r>
          </w:p>
        </w:tc>
        <w:tc>
          <w:tcPr>
            <w:tcW w:type="dxa" w:w="1814"/>
          </w:tcPr>
          <w:p>
            <w:pPr>
              <w:spacing w:line="240" w:lineRule="auto"/>
              <w:jc w:val="center"/>
            </w:pPr>
            <w:r>
              <w:rPr>
                <w:sz w:val="20"/>
              </w:rPr>
            </w:r>
            <w:r>
              <w:rPr>
                <w:rFonts w:ascii="Times New Roman" w:hAnsi="Times New Roman" w:eastAsia="宋体"/>
                <w:b w:val="0"/>
                <w:sz w:val="20"/>
              </w:rPr>
              <w:t>2</w:t>
            </w:r>
          </w:p>
        </w:tc>
        <w:tc>
          <w:tcPr>
            <w:tcW w:type="dxa" w:w="1814"/>
          </w:tcPr>
          <w:p>
            <w:pPr>
              <w:spacing w:line="240" w:lineRule="auto"/>
              <w:jc w:val="center"/>
            </w:pPr>
            <w:r>
              <w:rPr>
                <w:sz w:val="20"/>
              </w:rPr>
            </w:r>
            <w:r>
              <w:rPr>
                <w:rFonts w:ascii="Times New Roman" w:hAnsi="Times New Roman" w:eastAsia="宋体"/>
                <w:b w:val="0"/>
                <w:sz w:val="20"/>
              </w:rPr>
              <w:t>33.8471</w:t>
            </w:r>
          </w:p>
        </w:tc>
        <w:tc>
          <w:tcPr>
            <w:tcW w:type="dxa" w:w="1814"/>
          </w:tcPr>
          <w:p>
            <w:pPr>
              <w:spacing w:line="240" w:lineRule="auto"/>
              <w:jc w:val="center"/>
            </w:pPr>
            <w:r>
              <w:rPr>
                <w:sz w:val="20"/>
              </w:rPr>
            </w:r>
            <w:r>
              <w:rPr>
                <w:rFonts w:ascii="Times New Roman" w:hAnsi="Times New Roman" w:eastAsia="宋体"/>
                <w:b w:val="0"/>
                <w:sz w:val="20"/>
              </w:rPr>
              <w:t>12周6天；25周</w:t>
            </w:r>
          </w:p>
        </w:tc>
        <w:tc>
          <w:tcPr>
            <w:tcW w:type="dxa" w:w="1814"/>
          </w:tcPr>
          <w:p>
            <w:pPr>
              <w:spacing w:line="240" w:lineRule="auto"/>
              <w:jc w:val="center"/>
            </w:pPr>
            <w:r>
              <w:rPr>
                <w:sz w:val="20"/>
              </w:rPr>
            </w:r>
            <w:r>
              <w:rPr>
                <w:rFonts w:ascii="Times New Roman" w:hAnsi="Times New Roman" w:eastAsia="宋体"/>
                <w:b w:val="0"/>
                <w:sz w:val="20"/>
              </w:rPr>
              <w:t>212；55</w:t>
            </w:r>
          </w:p>
        </w:tc>
      </w:tr>
      <w:tr>
        <w:tc>
          <w:tcPr>
            <w:tcW w:type="dxa" w:w="1814"/>
          </w:tcPr>
          <w:p>
            <w:pPr>
              <w:spacing w:line="240" w:lineRule="auto"/>
              <w:jc w:val="center"/>
            </w:pPr>
            <w:r>
              <w:rPr>
                <w:sz w:val="20"/>
              </w:rPr>
            </w:r>
            <w:r>
              <w:rPr>
                <w:rFonts w:ascii="Times New Roman" w:hAnsi="Times New Roman" w:eastAsia="宋体"/>
                <w:b w:val="0"/>
                <w:sz w:val="20"/>
              </w:rPr>
              <w:t>4.5%</w:t>
            </w:r>
          </w:p>
        </w:tc>
        <w:tc>
          <w:tcPr>
            <w:tcW w:type="dxa" w:w="1814"/>
          </w:tcPr>
          <w:p>
            <w:pPr>
              <w:spacing w:line="240" w:lineRule="auto"/>
              <w:jc w:val="center"/>
            </w:pPr>
            <w:r>
              <w:rPr>
                <w:sz w:val="20"/>
              </w:rPr>
            </w:r>
            <w:r>
              <w:rPr>
                <w:rFonts w:ascii="Times New Roman" w:hAnsi="Times New Roman" w:eastAsia="宋体"/>
                <w:b w:val="0"/>
                <w:sz w:val="20"/>
              </w:rPr>
              <w:t>2</w:t>
            </w:r>
          </w:p>
        </w:tc>
        <w:tc>
          <w:tcPr>
            <w:tcW w:type="dxa" w:w="1814"/>
          </w:tcPr>
          <w:p>
            <w:pPr>
              <w:spacing w:line="240" w:lineRule="auto"/>
              <w:jc w:val="center"/>
            </w:pPr>
            <w:r>
              <w:rPr>
                <w:sz w:val="20"/>
              </w:rPr>
            </w:r>
            <w:r>
              <w:rPr>
                <w:rFonts w:ascii="Times New Roman" w:hAnsi="Times New Roman" w:eastAsia="宋体"/>
                <w:b w:val="0"/>
                <w:sz w:val="20"/>
              </w:rPr>
              <w:t>29.0781</w:t>
            </w:r>
          </w:p>
        </w:tc>
        <w:tc>
          <w:tcPr>
            <w:tcW w:type="dxa" w:w="1814"/>
          </w:tcPr>
          <w:p>
            <w:pPr>
              <w:spacing w:line="240" w:lineRule="auto"/>
              <w:jc w:val="center"/>
            </w:pPr>
            <w:r>
              <w:rPr>
                <w:sz w:val="20"/>
              </w:rPr>
            </w:r>
            <w:r>
              <w:rPr>
                <w:rFonts w:ascii="Times New Roman" w:hAnsi="Times New Roman" w:eastAsia="宋体"/>
                <w:b w:val="0"/>
                <w:sz w:val="20"/>
              </w:rPr>
              <w:t>12周6天；25周</w:t>
            </w:r>
          </w:p>
        </w:tc>
        <w:tc>
          <w:tcPr>
            <w:tcW w:type="dxa" w:w="1814"/>
          </w:tcPr>
          <w:p>
            <w:pPr>
              <w:spacing w:line="240" w:lineRule="auto"/>
              <w:jc w:val="center"/>
            </w:pPr>
            <w:r>
              <w:rPr>
                <w:sz w:val="20"/>
              </w:rPr>
            </w:r>
            <w:r>
              <w:rPr>
                <w:rFonts w:ascii="Times New Roman" w:hAnsi="Times New Roman" w:eastAsia="宋体"/>
                <w:b w:val="0"/>
                <w:sz w:val="20"/>
              </w:rPr>
              <w:t>38；229</w:t>
            </w:r>
          </w:p>
        </w:tc>
      </w:tr>
    </w:tbl>
    <w:p>
      <w:pPr>
        <w:spacing w:before="0" w:after="0" w:line="264" w:lineRule="auto"/>
        <w:ind w:firstLine="480"/>
      </w:pPr>
      <w:r>
        <w:rPr>
          <w:rFonts w:ascii="Times New Roman" w:hAnsi="Times New Roman" w:eastAsia="宋体"/>
          <w:b w:val="0"/>
          <w:sz w:val="24"/>
        </w:rPr>
        <w:t>25周方案出现在较低的每周延迟代价下，说明此时风险函数愿意用等待换取较高的模型达标概率；这不是推荐所有高BMI孕妇等到25周的医学结论。相反，在较高延迟代价下，有效方案趋于单一早期时点。不同外层划分中的中延迟方案可形成2至4个有效组，切点不是稳定的人体分类边界。风险函数没有真实成本标定时，选择一组最符合直觉的权重并称为唯一最优是不恰当的。</w:t>
      </w:r>
    </w:p>
    <w:p>
      <w:pPr>
        <w:spacing w:before="0" w:after="0" w:line="264" w:lineRule="auto"/>
        <w:ind w:firstLine="480"/>
      </w:pPr>
      <w:r>
        <w:rPr>
          <w:rFonts w:ascii="Times New Roman" w:hAnsi="Times New Roman" w:eastAsia="宋体"/>
          <w:b w:val="0"/>
          <w:sz w:val="24"/>
        </w:rPr>
        <w:t>综合问题二和问题三，主结果表给出一个可执行的条件答案，敏感性结果说明其可变范围。更可靠的实际决策需要采集复检成本、失败后的等待时间、不同孕周发现异常的效用以及早期独立队列数据，再更新代价函数与校准模型。当前附件能够支持条件优化的计算过程，但不足以消除这些外部决策信息的缺口。</w:t>
      </w:r>
    </w:p>
    <w:p>
      <w:pPr>
        <w:pageBreakBefore w:val="0"/>
        <w:spacing w:before="0" w:after="0" w:line="300" w:lineRule="auto"/>
        <w:jc w:val="center"/>
      </w:pPr>
      <w:r>
        <w:rPr>
          <w:rFonts w:ascii="Times New Roman" w:hAnsi="Times New Roman" w:eastAsia="宋体"/>
          <w:b/>
          <w:sz w:val="32"/>
        </w:rPr>
        <w:t>7 问题四：女胎异常标记判定</w:t>
      </w:r>
    </w:p>
    <w:p>
      <w:pPr>
        <w:spacing w:before="0" w:after="0" w:line="300" w:lineRule="auto"/>
      </w:pPr>
      <w:r>
        <w:rPr>
          <w:rFonts w:ascii="Times New Roman" w:hAnsi="Times New Roman" w:eastAsia="宋体"/>
          <w:b w:val="0"/>
          <w:sz w:val="28"/>
        </w:rPr>
        <w:t>7.1 目标与特征</w:t>
      </w:r>
    </w:p>
    <w:p>
      <w:pPr>
        <w:spacing w:before="0" w:after="0" w:line="264" w:lineRule="auto"/>
        <w:ind w:firstLine="480"/>
      </w:pPr>
      <w:r>
        <w:rPr>
          <w:rFonts w:ascii="Times New Roman" w:hAnsi="Times New Roman" w:eastAsia="宋体"/>
          <w:b w:val="0"/>
          <w:sz w:val="24"/>
        </w:rPr>
        <w:t>女胎分析以T13、T18、T21标记以及任一上述标记为四个独立二元目标。对应阳性记录数分别为23、46、13和67，涉及18、30、12和44名孕妇；其余记录按题面标签含义处理。图11展示阳性主体数，提示少数异常类别尤其是T21的验证不确定性较大。总体异常目标不是临床确诊结果，而是题面标记的复现与预测。</w:t>
      </w:r>
    </w:p>
    <w:p>
      <w:pPr>
        <w:spacing w:before="0" w:after="0" w:line="300" w:lineRule="auto"/>
        <w:jc w:val="center"/>
      </w:pPr>
      <w:r>
        <w:drawing>
          <wp:inline xmlns:a="http://schemas.openxmlformats.org/drawingml/2006/main" xmlns:pic="http://schemas.openxmlformats.org/drawingml/2006/picture">
            <wp:extent cx="5472000" cy="291840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72000" cy="2918400"/>
                    </a:xfrm>
                    <a:prstGeom prst="rect"/>
                  </pic:spPr>
                </pic:pic>
              </a:graphicData>
            </a:graphic>
          </wp:inline>
        </w:drawing>
      </w:r>
    </w:p>
    <w:p>
      <w:pPr>
        <w:spacing w:before="0" w:after="0" w:line="300" w:lineRule="auto"/>
        <w:jc w:val="center"/>
      </w:pPr>
      <w:r>
        <w:rPr>
          <w:rFonts w:ascii="Times New Roman" w:hAnsi="Times New Roman" w:eastAsia="宋体"/>
          <w:b w:val="0"/>
          <w:sz w:val="20"/>
        </w:rPr>
        <w:t>图11 女胎各异常目标的阳性主体数量</w:t>
      </w:r>
    </w:p>
    <w:p>
      <w:pPr>
        <w:spacing w:before="0" w:after="0" w:line="264" w:lineRule="auto"/>
        <w:ind w:firstLine="480"/>
      </w:pPr>
      <w:r>
        <w:rPr>
          <w:rFonts w:ascii="Times New Roman" w:hAnsi="Times New Roman" w:eastAsia="宋体"/>
          <w:b w:val="0"/>
          <w:sz w:val="24"/>
        </w:rPr>
        <w:t>输入包括13、18、21号染色体Z值、X染色体Z值、X浓度、GC含量、原始读段数、比对比例、重复比例、唯一比对读段数、过滤比例、检测孕周、BMI和年龄，共14个特征。这些特征在本问的检测后判定时已经可用，与前两问预约前信息条件不同。既有研究使用多个测序特征辅助NIPT异常识别[3]，但其性能不直接移植到本附件；本文采用简单正则化模型检验当前数据是否支持有效区分。</w:t>
      </w:r>
    </w:p>
    <w:p>
      <w:pPr>
        <w:spacing w:before="0" w:after="0" w:line="300" w:lineRule="auto"/>
      </w:pPr>
      <w:r>
        <w:rPr>
          <w:rFonts w:ascii="Times New Roman" w:hAnsi="Times New Roman" w:eastAsia="宋体"/>
          <w:b w:val="0"/>
          <w:sz w:val="28"/>
        </w:rPr>
        <w:t>7.2 正则化概率与阈值选择</w:t>
      </w:r>
    </w:p>
    <w:p>
      <w:pPr>
        <w:spacing w:before="0" w:after="0" w:line="264" w:lineRule="auto"/>
        <w:ind w:firstLine="480"/>
      </w:pPr>
      <w:r>
        <w:rPr>
          <w:rFonts w:ascii="Times New Roman" w:hAnsi="Times New Roman" w:eastAsia="宋体"/>
          <w:b w:val="0"/>
          <w:sz w:val="24"/>
        </w:rPr>
        <w:t>对每个目标分别拟合L2正则化Logistic模型，正则化强度固定为C=0.1，不在外层结果上搜索参数。中位数填补与标准化均仅使用训练数据。未采用类别权重，以免在没有相应校准处理时把改变后的类别代价误当成真实概率。模型估计式（10）的概率，再用训练层选择的阈值进行判定。</w:t>
      </w:r>
    </w:p>
    <w:p>
      <w:pPr>
        <w:spacing w:before="0" w:after="0" w:line="300" w:lineRule="auto"/>
        <w:jc w:val="center"/>
      </w:pPr>
      <m:oMathPara>
        <m:oMath>
          <m:sSub>
            <m:e>
              <m:r>
                <m:t>q</m:t>
              </m:r>
            </m:e>
            <m:sub>
              <m:r>
                <m:t>i</m:t>
              </m:r>
            </m:sub>
          </m:sSub>
          <m:r>
            <m:t>=</m:t>
          </m:r>
          <m:f>
            <m:num>
              <m:r>
                <m:t>1</m:t>
              </m:r>
            </m:num>
            <m:den>
              <m:r>
                <m:t>1+</m:t>
              </m:r>
              <m:r>
                <m:t>exp</m:t>
              </m:r>
              <m:r>
                <m:t>[-(</m:t>
              </m:r>
              <m:sSub>
                <m:e>
                  <m:r>
                    <m:t>α</m:t>
                  </m:r>
                </m:e>
                <m:sub>
                  <m:r>
                    <m:t>0</m:t>
                  </m:r>
                </m:sub>
              </m:sSub>
              <m:r>
                <m:t>+</m:t>
              </m:r>
              <m:sSup>
                <m:e>
                  <m:r>
                    <m:t>α</m:t>
                  </m:r>
                </m:e>
                <m:sup>
                  <m:r>
                    <m:t>T</m:t>
                  </m:r>
                </m:sup>
              </m:sSup>
              <m:sSub>
                <m:e>
                  <m:r>
                    <m:t xml:space="preserve"> v</m:t>
                  </m:r>
                </m:e>
                <m:sub>
                  <m:r>
                    <m:t>i</m:t>
                  </m:r>
                </m:sub>
              </m:sSub>
              <m:r>
                <m:t>)]</m:t>
              </m:r>
            </m:den>
          </m:f>
          <m:r>
            <m:t>,</m:t>
          </m:r>
          <m:r>
            <m:t xml:space="preserve">    </m:t>
          </m:r>
          <m:r>
            <m:t xml:space="preserve"> </m:t>
          </m:r>
          <m:sSub>
            <m:e>
              <m:acc>
                <m:accPr>
                  <m:chr m:val="̂"/>
                </m:accPr>
                <m:e>
                  <m:r>
                    <m:t>A</m:t>
                  </m:r>
                </m:e>
              </m:acc>
            </m:e>
            <m:sub>
              <m:r>
                <m:t>i</m:t>
              </m:r>
            </m:sub>
          </m:sSub>
          <m:sSub>
            <m:e>
              <m:r>
                <m:t>=I(q</m:t>
              </m:r>
            </m:e>
            <m:sub>
              <m:r>
                <m:t>i</m:t>
              </m:r>
            </m:sub>
          </m:sSub>
          <m:r>
            <m:t>≥</m:t>
          </m:r>
          <m:r>
            <m:t xml:space="preserve"> h) </m:t>
          </m:r>
          <m:r>
            <m:t xml:space="preserve">  </m:t>
          </m:r>
          <m:r>
            <m:t xml:space="preserve"> (10)</m:t>
          </m:r>
        </m:oMath>
      </m:oMathPara>
    </w:p>
    <w:p>
      <w:pPr>
        <w:spacing w:before="0" w:after="0" w:line="264" w:lineRule="auto"/>
        <w:ind w:firstLine="480"/>
      </w:pPr>
      <w:r>
        <w:rPr>
          <w:rFonts w:ascii="Times New Roman" w:hAnsi="Times New Roman" w:eastAsia="宋体"/>
          <w:b w:val="0"/>
          <w:sz w:val="24"/>
        </w:rPr>
        <w:t>每个目标使用3折分层主体划分，外层用于报告泛化结果；在外层训练部分再作3折主体划分，利用内层预测选择MCC较好的阈值h。外层测试标签不参与缺失填补、标准化、拟合或阈值选择。由于不同目标的阳性主体不同，各目标独立分折，不能把四列外层预测拼接为一个已经验证的联合多标签分类器。</w:t>
      </w:r>
    </w:p>
    <w:p>
      <w:pPr>
        <w:spacing w:before="0" w:after="0" w:line="264" w:lineRule="auto"/>
        <w:ind w:firstLine="480"/>
      </w:pPr>
      <w:r>
        <w:rPr>
          <w:rFonts w:ascii="Times New Roman" w:hAnsi="Times New Roman" w:eastAsia="宋体"/>
          <w:b w:val="0"/>
          <w:sz w:val="24"/>
        </w:rPr>
        <w:t>模型判定流程是：读取目标检测的14项特征，应用训练所得填补和标准化，计算目标概率，再与相应训练阈值比较。最终输出应同时保留概率和判定，不把二元结果伪装成确诊。MCC在当前实验中用于平衡混淆矩阵各项，但并未编码临床漏诊代价；如果用途要求极高灵敏度，应事先设定目标灵敏度、再在独立数据验证，而不能从当前测试折挑选看起来最好的阈值。</w:t>
      </w:r>
    </w:p>
    <w:p>
      <w:pPr>
        <w:spacing w:before="0" w:after="0" w:line="300" w:lineRule="auto"/>
      </w:pPr>
      <w:r>
        <w:rPr>
          <w:rFonts w:ascii="Times New Roman" w:hAnsi="Times New Roman" w:eastAsia="宋体"/>
          <w:b w:val="0"/>
          <w:sz w:val="28"/>
        </w:rPr>
        <w:t>7.3 指标及总体结果</w:t>
      </w:r>
    </w:p>
    <w:p>
      <w:pPr>
        <w:spacing w:before="0" w:after="0" w:line="264" w:lineRule="auto"/>
        <w:ind w:firstLine="480"/>
      </w:pPr>
      <w:r>
        <w:rPr>
          <w:rFonts w:ascii="Times New Roman" w:hAnsi="Times New Roman" w:eastAsia="宋体"/>
          <w:b w:val="0"/>
          <w:sz w:val="24"/>
        </w:rPr>
        <w:t>类别不平衡时，高准确率可能仅来自预测全部正常。本文报告ROC-AUC、平均精确率AP、Brier分数、灵敏度、特异度和混淆矩阵。其中AP按召回增量加权精确率计算，不与梯形积分PR-AUC混称。记录Brier见式（11）；主体Brier先在每名孕妇内平均再跨主体平均，用于减少重复记录数量差异的影响。</w:t>
      </w:r>
    </w:p>
    <w:p>
      <w:pPr>
        <w:spacing w:before="0" w:after="0" w:line="300" w:lineRule="auto"/>
        <w:jc w:val="center"/>
      </w:pPr>
      <m:oMathPara>
        <m:oMath>
          <m:r>
            <m:t>Brier</m:t>
          </m:r>
          <m:r>
            <m:t>=</m:t>
          </m:r>
          <m:f>
            <m:num>
              <m:r>
                <m:t>1</m:t>
              </m:r>
            </m:num>
            <m:den>
              <m:r>
                <m:t>N</m:t>
              </m:r>
            </m:den>
          </m:f>
          <m:sSubSup>
            <m:e>
              <m:r>
                <m:t>∑</m:t>
              </m:r>
            </m:e>
            <m:sub>
              <m:r>
                <m:t>i=1</m:t>
              </m:r>
            </m:sub>
            <m:sup>
              <m:r>
                <m:t>N</m:t>
              </m:r>
            </m:sup>
          </m:sSubSup>
          <m:sSub>
            <m:e>
              <m:r>
                <m:t>(q</m:t>
              </m:r>
            </m:e>
            <m:sub>
              <m:r>
                <m:t>i</m:t>
              </m:r>
            </m:sub>
          </m:sSub>
          <m:sSub>
            <m:e>
              <m:r>
                <m:t>-A</m:t>
              </m:r>
            </m:e>
            <m:sub>
              <m:r>
                <m:t>i</m:t>
              </m:r>
            </m:sub>
          </m:sSub>
          <m:sSup>
            <m:e>
              <m:r>
                <m:t>)</m:t>
              </m:r>
            </m:e>
            <m:sup>
              <m:r>
                <m:t>2</m:t>
              </m:r>
            </m:sup>
          </m:sSup>
          <m:r>
            <m:t xml:space="preserve"> </m:t>
          </m:r>
          <m:r>
            <m:t xml:space="preserve">  </m:t>
          </m:r>
          <m:r>
            <m:t xml:space="preserve"> (11)</m:t>
          </m:r>
        </m:oMath>
      </m:oMathPara>
    </w:p>
    <w:p>
      <w:pPr>
        <w:spacing w:before="0" w:after="0" w:line="264" w:lineRule="auto"/>
        <w:ind w:firstLine="480"/>
      </w:pPr>
      <w:r>
        <w:rPr>
          <w:rFonts w:ascii="Times New Roman" w:hAnsi="Times New Roman" w:eastAsia="宋体"/>
          <w:b w:val="0"/>
          <w:sz w:val="24"/>
        </w:rPr>
        <w:t>表10显示T18和总体标记的概率表现优于各自训练折常数率对照，而T21区分能力不足。总体AP为0.3823，Brier为0.08419，ROC-AUC为0.7711；但在训练选择的MCC阈值下，灵敏度只有0.1791。概率排序和某个二元阈值下的临床可用性是不同问题，不能仅凭AUC或AP较高就声称适合高敏感筛查。</w:t>
      </w:r>
    </w:p>
    <w:p>
      <w:pPr>
        <w:spacing w:before="0" w:after="0" w:line="264" w:lineRule="auto"/>
        <w:ind w:firstLine="480"/>
      </w:pPr>
      <w:r>
        <w:rPr>
          <w:rFonts w:ascii="Times New Roman" w:hAnsi="Times New Roman" w:eastAsia="宋体"/>
          <w:b w:val="0"/>
          <w:sz w:val="24"/>
        </w:rPr>
        <w:t>表10 女胎主体隔离外层验证的记录级指标</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512"/>
        <w:gridCol w:w="1512"/>
        <w:gridCol w:w="1512"/>
        <w:gridCol w:w="1512"/>
        <w:gridCol w:w="1512"/>
        <w:gridCol w:w="1512"/>
      </w:tblGrid>
      <w:tr>
        <w:tc>
          <w:tcPr>
            <w:tcW w:type="dxa" w:w="1512"/>
            <w:tcBorders>
              <w:bottom w:val="single" w:sz="4" w:space="0" w:color="000000"/>
            </w:tcBorders>
          </w:tcPr>
          <w:p>
            <w:pPr>
              <w:spacing w:line="240" w:lineRule="auto"/>
              <w:jc w:val="center"/>
            </w:pPr>
            <w:r>
              <w:rPr>
                <w:sz w:val="20"/>
              </w:rPr>
            </w:r>
            <w:r>
              <w:rPr>
                <w:rFonts w:ascii="Times New Roman" w:hAnsi="Times New Roman" w:eastAsia="宋体"/>
                <w:b/>
                <w:sz w:val="20"/>
              </w:rPr>
              <w:t>目标</w:t>
            </w:r>
          </w:p>
        </w:tc>
        <w:tc>
          <w:tcPr>
            <w:tcW w:type="dxa" w:w="1512"/>
            <w:tcBorders>
              <w:bottom w:val="single" w:sz="4" w:space="0" w:color="000000"/>
            </w:tcBorders>
          </w:tcPr>
          <w:p>
            <w:pPr>
              <w:spacing w:line="240" w:lineRule="auto"/>
              <w:jc w:val="center"/>
            </w:pPr>
            <w:r>
              <w:rPr>
                <w:sz w:val="20"/>
              </w:rPr>
            </w:r>
            <w:r>
              <w:rPr>
                <w:rFonts w:ascii="Times New Roman" w:hAnsi="Times New Roman" w:eastAsia="宋体"/>
                <w:b/>
                <w:sz w:val="20"/>
              </w:rPr>
              <w:t>ROC-AUC</w:t>
            </w:r>
          </w:p>
        </w:tc>
        <w:tc>
          <w:tcPr>
            <w:tcW w:type="dxa" w:w="1512"/>
            <w:tcBorders>
              <w:bottom w:val="single" w:sz="4" w:space="0" w:color="000000"/>
            </w:tcBorders>
          </w:tcPr>
          <w:p>
            <w:pPr>
              <w:spacing w:line="240" w:lineRule="auto"/>
              <w:jc w:val="center"/>
            </w:pPr>
            <w:r>
              <w:rPr>
                <w:sz w:val="20"/>
              </w:rPr>
            </w:r>
            <w:r>
              <w:rPr>
                <w:rFonts w:ascii="Times New Roman" w:hAnsi="Times New Roman" w:eastAsia="宋体"/>
                <w:b/>
                <w:sz w:val="20"/>
              </w:rPr>
              <w:t>AP</w:t>
            </w:r>
          </w:p>
        </w:tc>
        <w:tc>
          <w:tcPr>
            <w:tcW w:type="dxa" w:w="1512"/>
            <w:tcBorders>
              <w:bottom w:val="single" w:sz="4" w:space="0" w:color="000000"/>
            </w:tcBorders>
          </w:tcPr>
          <w:p>
            <w:pPr>
              <w:spacing w:line="240" w:lineRule="auto"/>
              <w:jc w:val="center"/>
            </w:pPr>
            <w:r>
              <w:rPr>
                <w:sz w:val="20"/>
              </w:rPr>
            </w:r>
            <w:r>
              <w:rPr>
                <w:rFonts w:ascii="Times New Roman" w:hAnsi="Times New Roman" w:eastAsia="宋体"/>
                <w:b/>
                <w:sz w:val="20"/>
              </w:rPr>
              <w:t>Brier</w:t>
            </w:r>
          </w:p>
        </w:tc>
        <w:tc>
          <w:tcPr>
            <w:tcW w:type="dxa" w:w="1512"/>
            <w:tcBorders>
              <w:bottom w:val="single" w:sz="4" w:space="0" w:color="000000"/>
            </w:tcBorders>
          </w:tcPr>
          <w:p>
            <w:pPr>
              <w:spacing w:line="240" w:lineRule="auto"/>
              <w:jc w:val="center"/>
            </w:pPr>
            <w:r>
              <w:rPr>
                <w:sz w:val="20"/>
              </w:rPr>
            </w:r>
            <w:r>
              <w:rPr>
                <w:rFonts w:ascii="Times New Roman" w:hAnsi="Times New Roman" w:eastAsia="宋体"/>
                <w:b/>
                <w:sz w:val="20"/>
              </w:rPr>
              <w:t>灵敏度</w:t>
            </w:r>
          </w:p>
        </w:tc>
        <w:tc>
          <w:tcPr>
            <w:tcW w:type="dxa" w:w="1512"/>
            <w:tcBorders>
              <w:bottom w:val="single" w:sz="4" w:space="0" w:color="000000"/>
            </w:tcBorders>
          </w:tcPr>
          <w:p>
            <w:pPr>
              <w:spacing w:line="240" w:lineRule="auto"/>
              <w:jc w:val="center"/>
            </w:pPr>
            <w:r>
              <w:rPr>
                <w:sz w:val="20"/>
              </w:rPr>
            </w:r>
            <w:r>
              <w:rPr>
                <w:rFonts w:ascii="Times New Roman" w:hAnsi="Times New Roman" w:eastAsia="宋体"/>
                <w:b/>
                <w:sz w:val="20"/>
              </w:rPr>
              <w:t>特异度</w:t>
            </w:r>
          </w:p>
        </w:tc>
      </w:tr>
      <w:tr>
        <w:tc>
          <w:tcPr>
            <w:tcW w:type="dxa" w:w="1512"/>
          </w:tcPr>
          <w:p>
            <w:pPr>
              <w:spacing w:line="240" w:lineRule="auto"/>
              <w:jc w:val="center"/>
            </w:pPr>
            <w:r>
              <w:rPr>
                <w:sz w:val="20"/>
              </w:rPr>
            </w:r>
            <w:r>
              <w:rPr>
                <w:rFonts w:ascii="Times New Roman" w:hAnsi="Times New Roman" w:eastAsia="宋体"/>
                <w:b w:val="0"/>
                <w:sz w:val="20"/>
              </w:rPr>
              <w:t>T13</w:t>
            </w:r>
          </w:p>
        </w:tc>
        <w:tc>
          <w:tcPr>
            <w:tcW w:type="dxa" w:w="1512"/>
          </w:tcPr>
          <w:p>
            <w:pPr>
              <w:spacing w:line="240" w:lineRule="auto"/>
              <w:jc w:val="center"/>
            </w:pPr>
            <w:r>
              <w:rPr>
                <w:sz w:val="20"/>
              </w:rPr>
            </w:r>
            <w:r>
              <w:rPr>
                <w:rFonts w:ascii="Times New Roman" w:hAnsi="Times New Roman" w:eastAsia="宋体"/>
                <w:b w:val="0"/>
                <w:sz w:val="20"/>
              </w:rPr>
              <w:t>0.6796</w:t>
            </w:r>
          </w:p>
        </w:tc>
        <w:tc>
          <w:tcPr>
            <w:tcW w:type="dxa" w:w="1512"/>
          </w:tcPr>
          <w:p>
            <w:pPr>
              <w:spacing w:line="240" w:lineRule="auto"/>
              <w:jc w:val="center"/>
            </w:pPr>
            <w:r>
              <w:rPr>
                <w:sz w:val="20"/>
              </w:rPr>
            </w:r>
            <w:r>
              <w:rPr>
                <w:rFonts w:ascii="Times New Roman" w:hAnsi="Times New Roman" w:eastAsia="宋体"/>
                <w:b w:val="0"/>
                <w:sz w:val="20"/>
              </w:rPr>
              <w:t>0.1967</w:t>
            </w:r>
          </w:p>
        </w:tc>
        <w:tc>
          <w:tcPr>
            <w:tcW w:type="dxa" w:w="1512"/>
          </w:tcPr>
          <w:p>
            <w:pPr>
              <w:spacing w:line="240" w:lineRule="auto"/>
              <w:jc w:val="center"/>
            </w:pPr>
            <w:r>
              <w:rPr>
                <w:sz w:val="20"/>
              </w:rPr>
            </w:r>
            <w:r>
              <w:rPr>
                <w:rFonts w:ascii="Times New Roman" w:hAnsi="Times New Roman" w:eastAsia="宋体"/>
                <w:b w:val="0"/>
                <w:sz w:val="20"/>
              </w:rPr>
              <w:t>0.03317</w:t>
            </w:r>
          </w:p>
        </w:tc>
        <w:tc>
          <w:tcPr>
            <w:tcW w:type="dxa" w:w="1512"/>
          </w:tcPr>
          <w:p>
            <w:pPr>
              <w:spacing w:line="240" w:lineRule="auto"/>
              <w:jc w:val="center"/>
            </w:pPr>
            <w:r>
              <w:rPr>
                <w:sz w:val="20"/>
              </w:rPr>
            </w:r>
            <w:r>
              <w:rPr>
                <w:rFonts w:ascii="Times New Roman" w:hAnsi="Times New Roman" w:eastAsia="宋体"/>
                <w:b w:val="0"/>
                <w:sz w:val="20"/>
              </w:rPr>
              <w:t>0.1739</w:t>
            </w:r>
          </w:p>
        </w:tc>
        <w:tc>
          <w:tcPr>
            <w:tcW w:type="dxa" w:w="1512"/>
          </w:tcPr>
          <w:p>
            <w:pPr>
              <w:spacing w:line="240" w:lineRule="auto"/>
              <w:jc w:val="center"/>
            </w:pPr>
            <w:r>
              <w:rPr>
                <w:sz w:val="20"/>
              </w:rPr>
            </w:r>
            <w:r>
              <w:rPr>
                <w:rFonts w:ascii="Times New Roman" w:hAnsi="Times New Roman" w:eastAsia="宋体"/>
                <w:b w:val="0"/>
                <w:sz w:val="20"/>
              </w:rPr>
              <w:t>0.9210</w:t>
            </w:r>
          </w:p>
        </w:tc>
      </w:tr>
      <w:tr>
        <w:tc>
          <w:tcPr>
            <w:tcW w:type="dxa" w:w="1512"/>
          </w:tcPr>
          <w:p>
            <w:pPr>
              <w:spacing w:line="240" w:lineRule="auto"/>
              <w:jc w:val="center"/>
            </w:pPr>
            <w:r>
              <w:rPr>
                <w:sz w:val="20"/>
              </w:rPr>
            </w:r>
            <w:r>
              <w:rPr>
                <w:rFonts w:ascii="Times New Roman" w:hAnsi="Times New Roman" w:eastAsia="宋体"/>
                <w:b w:val="0"/>
                <w:sz w:val="20"/>
              </w:rPr>
              <w:t>T18</w:t>
            </w:r>
          </w:p>
        </w:tc>
        <w:tc>
          <w:tcPr>
            <w:tcW w:type="dxa" w:w="1512"/>
          </w:tcPr>
          <w:p>
            <w:pPr>
              <w:spacing w:line="240" w:lineRule="auto"/>
              <w:jc w:val="center"/>
            </w:pPr>
            <w:r>
              <w:rPr>
                <w:sz w:val="20"/>
              </w:rPr>
            </w:r>
            <w:r>
              <w:rPr>
                <w:rFonts w:ascii="Times New Roman" w:hAnsi="Times New Roman" w:eastAsia="宋体"/>
                <w:b w:val="0"/>
                <w:sz w:val="20"/>
              </w:rPr>
              <w:t>0.7943</w:t>
            </w:r>
          </w:p>
        </w:tc>
        <w:tc>
          <w:tcPr>
            <w:tcW w:type="dxa" w:w="1512"/>
          </w:tcPr>
          <w:p>
            <w:pPr>
              <w:spacing w:line="240" w:lineRule="auto"/>
              <w:jc w:val="center"/>
            </w:pPr>
            <w:r>
              <w:rPr>
                <w:sz w:val="20"/>
              </w:rPr>
            </w:r>
            <w:r>
              <w:rPr>
                <w:rFonts w:ascii="Times New Roman" w:hAnsi="Times New Roman" w:eastAsia="宋体"/>
                <w:b w:val="0"/>
                <w:sz w:val="20"/>
              </w:rPr>
              <w:t>0.2924</w:t>
            </w:r>
          </w:p>
        </w:tc>
        <w:tc>
          <w:tcPr>
            <w:tcW w:type="dxa" w:w="1512"/>
          </w:tcPr>
          <w:p>
            <w:pPr>
              <w:spacing w:line="240" w:lineRule="auto"/>
              <w:jc w:val="center"/>
            </w:pPr>
            <w:r>
              <w:rPr>
                <w:sz w:val="20"/>
              </w:rPr>
            </w:r>
            <w:r>
              <w:rPr>
                <w:rFonts w:ascii="Times New Roman" w:hAnsi="Times New Roman" w:eastAsia="宋体"/>
                <w:b w:val="0"/>
                <w:sz w:val="20"/>
              </w:rPr>
              <w:t>0.06252</w:t>
            </w:r>
          </w:p>
        </w:tc>
        <w:tc>
          <w:tcPr>
            <w:tcW w:type="dxa" w:w="1512"/>
          </w:tcPr>
          <w:p>
            <w:pPr>
              <w:spacing w:line="240" w:lineRule="auto"/>
              <w:jc w:val="center"/>
            </w:pPr>
            <w:r>
              <w:rPr>
                <w:sz w:val="20"/>
              </w:rPr>
            </w:r>
            <w:r>
              <w:rPr>
                <w:rFonts w:ascii="Times New Roman" w:hAnsi="Times New Roman" w:eastAsia="宋体"/>
                <w:b w:val="0"/>
                <w:sz w:val="20"/>
              </w:rPr>
              <w:t>0.5000</w:t>
            </w:r>
          </w:p>
        </w:tc>
        <w:tc>
          <w:tcPr>
            <w:tcW w:type="dxa" w:w="1512"/>
          </w:tcPr>
          <w:p>
            <w:pPr>
              <w:spacing w:line="240" w:lineRule="auto"/>
              <w:jc w:val="center"/>
            </w:pPr>
            <w:r>
              <w:rPr>
                <w:sz w:val="20"/>
              </w:rPr>
            </w:r>
            <w:r>
              <w:rPr>
                <w:rFonts w:ascii="Times New Roman" w:hAnsi="Times New Roman" w:eastAsia="宋体"/>
                <w:b w:val="0"/>
                <w:sz w:val="20"/>
              </w:rPr>
              <w:t>0.8551</w:t>
            </w:r>
          </w:p>
        </w:tc>
      </w:tr>
      <w:tr>
        <w:tc>
          <w:tcPr>
            <w:tcW w:type="dxa" w:w="1512"/>
          </w:tcPr>
          <w:p>
            <w:pPr>
              <w:spacing w:line="240" w:lineRule="auto"/>
              <w:jc w:val="center"/>
            </w:pPr>
            <w:r>
              <w:rPr>
                <w:sz w:val="20"/>
              </w:rPr>
            </w:r>
            <w:r>
              <w:rPr>
                <w:rFonts w:ascii="Times New Roman" w:hAnsi="Times New Roman" w:eastAsia="宋体"/>
                <w:b w:val="0"/>
                <w:sz w:val="20"/>
              </w:rPr>
              <w:t>T21</w:t>
            </w:r>
          </w:p>
        </w:tc>
        <w:tc>
          <w:tcPr>
            <w:tcW w:type="dxa" w:w="1512"/>
          </w:tcPr>
          <w:p>
            <w:pPr>
              <w:spacing w:line="240" w:lineRule="auto"/>
              <w:jc w:val="center"/>
            </w:pPr>
            <w:r>
              <w:rPr>
                <w:sz w:val="20"/>
              </w:rPr>
            </w:r>
            <w:r>
              <w:rPr>
                <w:rFonts w:ascii="Times New Roman" w:hAnsi="Times New Roman" w:eastAsia="宋体"/>
                <w:b w:val="0"/>
                <w:sz w:val="20"/>
              </w:rPr>
              <w:t>0.4467</w:t>
            </w:r>
          </w:p>
        </w:tc>
        <w:tc>
          <w:tcPr>
            <w:tcW w:type="dxa" w:w="1512"/>
          </w:tcPr>
          <w:p>
            <w:pPr>
              <w:spacing w:line="240" w:lineRule="auto"/>
              <w:jc w:val="center"/>
            </w:pPr>
            <w:r>
              <w:rPr>
                <w:sz w:val="20"/>
              </w:rPr>
            </w:r>
            <w:r>
              <w:rPr>
                <w:rFonts w:ascii="Times New Roman" w:hAnsi="Times New Roman" w:eastAsia="宋体"/>
                <w:b w:val="0"/>
                <w:sz w:val="20"/>
              </w:rPr>
              <w:t>0.0302</w:t>
            </w:r>
          </w:p>
        </w:tc>
        <w:tc>
          <w:tcPr>
            <w:tcW w:type="dxa" w:w="1512"/>
          </w:tcPr>
          <w:p>
            <w:pPr>
              <w:spacing w:line="240" w:lineRule="auto"/>
              <w:jc w:val="center"/>
            </w:pPr>
            <w:r>
              <w:rPr>
                <w:sz w:val="20"/>
              </w:rPr>
            </w:r>
            <w:r>
              <w:rPr>
                <w:rFonts w:ascii="Times New Roman" w:hAnsi="Times New Roman" w:eastAsia="宋体"/>
                <w:b w:val="0"/>
                <w:sz w:val="20"/>
              </w:rPr>
              <w:t>0.02123</w:t>
            </w:r>
          </w:p>
        </w:tc>
        <w:tc>
          <w:tcPr>
            <w:tcW w:type="dxa" w:w="1512"/>
          </w:tcPr>
          <w:p>
            <w:pPr>
              <w:spacing w:line="240" w:lineRule="auto"/>
              <w:jc w:val="center"/>
            </w:pPr>
            <w:r>
              <w:rPr>
                <w:sz w:val="20"/>
              </w:rPr>
            </w:r>
            <w:r>
              <w:rPr>
                <w:rFonts w:ascii="Times New Roman" w:hAnsi="Times New Roman" w:eastAsia="宋体"/>
                <w:b w:val="0"/>
                <w:sz w:val="20"/>
              </w:rPr>
              <w:t>0.1538</w:t>
            </w:r>
          </w:p>
        </w:tc>
        <w:tc>
          <w:tcPr>
            <w:tcW w:type="dxa" w:w="1512"/>
          </w:tcPr>
          <w:p>
            <w:pPr>
              <w:spacing w:line="240" w:lineRule="auto"/>
              <w:jc w:val="center"/>
            </w:pPr>
            <w:r>
              <w:rPr>
                <w:sz w:val="20"/>
              </w:rPr>
            </w:r>
            <w:r>
              <w:rPr>
                <w:rFonts w:ascii="Times New Roman" w:hAnsi="Times New Roman" w:eastAsia="宋体"/>
                <w:b w:val="0"/>
                <w:sz w:val="20"/>
              </w:rPr>
              <w:t>0.8361</w:t>
            </w:r>
          </w:p>
        </w:tc>
      </w:tr>
      <w:tr>
        <w:tc>
          <w:tcPr>
            <w:tcW w:type="dxa" w:w="1512"/>
          </w:tcPr>
          <w:p>
            <w:pPr>
              <w:spacing w:line="240" w:lineRule="auto"/>
              <w:jc w:val="center"/>
            </w:pPr>
            <w:r>
              <w:rPr>
                <w:sz w:val="20"/>
              </w:rPr>
            </w:r>
            <w:r>
              <w:rPr>
                <w:rFonts w:ascii="Times New Roman" w:hAnsi="Times New Roman" w:eastAsia="宋体"/>
                <w:b w:val="0"/>
                <w:sz w:val="20"/>
              </w:rPr>
              <w:t>任一异常标记</w:t>
            </w:r>
          </w:p>
        </w:tc>
        <w:tc>
          <w:tcPr>
            <w:tcW w:type="dxa" w:w="1512"/>
          </w:tcPr>
          <w:p>
            <w:pPr>
              <w:spacing w:line="240" w:lineRule="auto"/>
              <w:jc w:val="center"/>
            </w:pPr>
            <w:r>
              <w:rPr>
                <w:sz w:val="20"/>
              </w:rPr>
            </w:r>
            <w:r>
              <w:rPr>
                <w:rFonts w:ascii="Times New Roman" w:hAnsi="Times New Roman" w:eastAsia="宋体"/>
                <w:b w:val="0"/>
                <w:sz w:val="20"/>
              </w:rPr>
              <w:t>0.7711</w:t>
            </w:r>
          </w:p>
        </w:tc>
        <w:tc>
          <w:tcPr>
            <w:tcW w:type="dxa" w:w="1512"/>
          </w:tcPr>
          <w:p>
            <w:pPr>
              <w:spacing w:line="240" w:lineRule="auto"/>
              <w:jc w:val="center"/>
            </w:pPr>
            <w:r>
              <w:rPr>
                <w:sz w:val="20"/>
              </w:rPr>
            </w:r>
            <w:r>
              <w:rPr>
                <w:rFonts w:ascii="Times New Roman" w:hAnsi="Times New Roman" w:eastAsia="宋体"/>
                <w:b w:val="0"/>
                <w:sz w:val="20"/>
              </w:rPr>
              <w:t>0.3823</w:t>
            </w:r>
          </w:p>
        </w:tc>
        <w:tc>
          <w:tcPr>
            <w:tcW w:type="dxa" w:w="1512"/>
          </w:tcPr>
          <w:p>
            <w:pPr>
              <w:spacing w:line="240" w:lineRule="auto"/>
              <w:jc w:val="center"/>
            </w:pPr>
            <w:r>
              <w:rPr>
                <w:sz w:val="20"/>
              </w:rPr>
            </w:r>
            <w:r>
              <w:rPr>
                <w:rFonts w:ascii="Times New Roman" w:hAnsi="Times New Roman" w:eastAsia="宋体"/>
                <w:b w:val="0"/>
                <w:sz w:val="20"/>
              </w:rPr>
              <w:t>0.08419</w:t>
            </w:r>
          </w:p>
        </w:tc>
        <w:tc>
          <w:tcPr>
            <w:tcW w:type="dxa" w:w="1512"/>
          </w:tcPr>
          <w:p>
            <w:pPr>
              <w:spacing w:line="240" w:lineRule="auto"/>
              <w:jc w:val="center"/>
            </w:pPr>
            <w:r>
              <w:rPr>
                <w:sz w:val="20"/>
              </w:rPr>
            </w:r>
            <w:r>
              <w:rPr>
                <w:rFonts w:ascii="Times New Roman" w:hAnsi="Times New Roman" w:eastAsia="宋体"/>
                <w:b w:val="0"/>
                <w:sz w:val="20"/>
              </w:rPr>
              <w:t>0.1791</w:t>
            </w:r>
          </w:p>
        </w:tc>
        <w:tc>
          <w:tcPr>
            <w:tcW w:type="dxa" w:w="1512"/>
          </w:tcPr>
          <w:p>
            <w:pPr>
              <w:spacing w:line="240" w:lineRule="auto"/>
              <w:jc w:val="center"/>
            </w:pPr>
            <w:r>
              <w:rPr>
                <w:sz w:val="20"/>
              </w:rPr>
            </w:r>
            <w:r>
              <w:rPr>
                <w:rFonts w:ascii="Times New Roman" w:hAnsi="Times New Roman" w:eastAsia="宋体"/>
                <w:b w:val="0"/>
                <w:sz w:val="20"/>
              </w:rPr>
              <w:t>0.9851</w:t>
            </w:r>
          </w:p>
        </w:tc>
      </w:tr>
    </w:tbl>
    <w:p>
      <w:pPr>
        <w:spacing w:before="0" w:after="0" w:line="264" w:lineRule="auto"/>
        <w:ind w:firstLine="480"/>
      </w:pPr>
      <w:r>
        <w:rPr>
          <w:rFonts w:ascii="Times New Roman" w:hAnsi="Times New Roman" w:eastAsia="宋体"/>
          <w:b w:val="0"/>
          <w:sz w:val="24"/>
        </w:rPr>
        <w:t>表11进一步给出混淆矩阵。总体异常67条阳性记录中只识别出12条，遗漏55条；T21仅识别2条、漏掉11条，同时产生97条假阳性。这些失败结果必须公开。尤其不能用总体任务的较好概率结果掩盖T21的弱表现，也不能把特异度高解释为异常不会被漏掉。</w:t>
      </w:r>
    </w:p>
    <w:p>
      <w:pPr>
        <w:spacing w:before="0" w:after="0" w:line="264" w:lineRule="auto"/>
        <w:ind w:firstLine="480"/>
      </w:pPr>
      <w:r>
        <w:rPr>
          <w:rFonts w:ascii="Times New Roman" w:hAnsi="Times New Roman" w:eastAsia="宋体"/>
          <w:b w:val="0"/>
          <w:sz w:val="24"/>
        </w:rPr>
        <w:t>表11 各目标外层判定的混淆矩阵</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1814"/>
        <w:gridCol w:w="1814"/>
        <w:gridCol w:w="1814"/>
        <w:gridCol w:w="1814"/>
        <w:gridCol w:w="1814"/>
      </w:tblGrid>
      <w:tr>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目标</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真阳性TP</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假阳性FP</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假阴性FN</w:t>
            </w:r>
          </w:p>
        </w:tc>
        <w:tc>
          <w:tcPr>
            <w:tcW w:type="dxa" w:w="1814"/>
            <w:tcBorders>
              <w:bottom w:val="single" w:sz="4" w:space="0" w:color="000000"/>
            </w:tcBorders>
          </w:tcPr>
          <w:p>
            <w:pPr>
              <w:spacing w:line="240" w:lineRule="auto"/>
              <w:jc w:val="center"/>
            </w:pPr>
            <w:r>
              <w:rPr>
                <w:sz w:val="20"/>
              </w:rPr>
            </w:r>
            <w:r>
              <w:rPr>
                <w:rFonts w:ascii="Times New Roman" w:hAnsi="Times New Roman" w:eastAsia="宋体"/>
                <w:b/>
                <w:sz w:val="20"/>
              </w:rPr>
              <w:t>真阴性TN</w:t>
            </w:r>
          </w:p>
        </w:tc>
      </w:tr>
      <w:tr>
        <w:tc>
          <w:tcPr>
            <w:tcW w:type="dxa" w:w="1814"/>
          </w:tcPr>
          <w:p>
            <w:pPr>
              <w:spacing w:line="240" w:lineRule="auto"/>
              <w:jc w:val="center"/>
            </w:pPr>
            <w:r>
              <w:rPr>
                <w:sz w:val="20"/>
              </w:rPr>
            </w:r>
            <w:r>
              <w:rPr>
                <w:rFonts w:ascii="Times New Roman" w:hAnsi="Times New Roman" w:eastAsia="宋体"/>
                <w:b w:val="0"/>
                <w:sz w:val="20"/>
              </w:rPr>
              <w:t>T13</w:t>
            </w:r>
          </w:p>
        </w:tc>
        <w:tc>
          <w:tcPr>
            <w:tcW w:type="dxa" w:w="1814"/>
          </w:tcPr>
          <w:p>
            <w:pPr>
              <w:spacing w:line="240" w:lineRule="auto"/>
              <w:jc w:val="center"/>
            </w:pPr>
            <w:r>
              <w:rPr>
                <w:sz w:val="20"/>
              </w:rPr>
            </w:r>
            <w:r>
              <w:rPr>
                <w:rFonts w:ascii="Times New Roman" w:hAnsi="Times New Roman" w:eastAsia="宋体"/>
                <w:b w:val="0"/>
                <w:sz w:val="20"/>
              </w:rPr>
              <w:t>4</w:t>
            </w:r>
          </w:p>
        </w:tc>
        <w:tc>
          <w:tcPr>
            <w:tcW w:type="dxa" w:w="1814"/>
          </w:tcPr>
          <w:p>
            <w:pPr>
              <w:spacing w:line="240" w:lineRule="auto"/>
              <w:jc w:val="center"/>
            </w:pPr>
            <w:r>
              <w:rPr>
                <w:sz w:val="20"/>
              </w:rPr>
            </w:r>
            <w:r>
              <w:rPr>
                <w:rFonts w:ascii="Times New Roman" w:hAnsi="Times New Roman" w:eastAsia="宋体"/>
                <w:b w:val="0"/>
                <w:sz w:val="20"/>
              </w:rPr>
              <w:t>46</w:t>
            </w:r>
          </w:p>
        </w:tc>
        <w:tc>
          <w:tcPr>
            <w:tcW w:type="dxa" w:w="1814"/>
          </w:tcPr>
          <w:p>
            <w:pPr>
              <w:spacing w:line="240" w:lineRule="auto"/>
              <w:jc w:val="center"/>
            </w:pPr>
            <w:r>
              <w:rPr>
                <w:sz w:val="20"/>
              </w:rPr>
            </w:r>
            <w:r>
              <w:rPr>
                <w:rFonts w:ascii="Times New Roman" w:hAnsi="Times New Roman" w:eastAsia="宋体"/>
                <w:b w:val="0"/>
                <w:sz w:val="20"/>
              </w:rPr>
              <w:t>19</w:t>
            </w:r>
          </w:p>
        </w:tc>
        <w:tc>
          <w:tcPr>
            <w:tcW w:type="dxa" w:w="1814"/>
          </w:tcPr>
          <w:p>
            <w:pPr>
              <w:spacing w:line="240" w:lineRule="auto"/>
              <w:jc w:val="center"/>
            </w:pPr>
            <w:r>
              <w:rPr>
                <w:sz w:val="20"/>
              </w:rPr>
            </w:r>
            <w:r>
              <w:rPr>
                <w:rFonts w:ascii="Times New Roman" w:hAnsi="Times New Roman" w:eastAsia="宋体"/>
                <w:b w:val="0"/>
                <w:sz w:val="20"/>
              </w:rPr>
              <w:t>536</w:t>
            </w:r>
          </w:p>
        </w:tc>
      </w:tr>
      <w:tr>
        <w:tc>
          <w:tcPr>
            <w:tcW w:type="dxa" w:w="1814"/>
          </w:tcPr>
          <w:p>
            <w:pPr>
              <w:spacing w:line="240" w:lineRule="auto"/>
              <w:jc w:val="center"/>
            </w:pPr>
            <w:r>
              <w:rPr>
                <w:sz w:val="20"/>
              </w:rPr>
            </w:r>
            <w:r>
              <w:rPr>
                <w:rFonts w:ascii="Times New Roman" w:hAnsi="Times New Roman" w:eastAsia="宋体"/>
                <w:b w:val="0"/>
                <w:sz w:val="20"/>
              </w:rPr>
              <w:t>T18</w:t>
            </w:r>
          </w:p>
        </w:tc>
        <w:tc>
          <w:tcPr>
            <w:tcW w:type="dxa" w:w="1814"/>
          </w:tcPr>
          <w:p>
            <w:pPr>
              <w:spacing w:line="240" w:lineRule="auto"/>
              <w:jc w:val="center"/>
            </w:pPr>
            <w:r>
              <w:rPr>
                <w:sz w:val="20"/>
              </w:rPr>
            </w:r>
            <w:r>
              <w:rPr>
                <w:rFonts w:ascii="Times New Roman" w:hAnsi="Times New Roman" w:eastAsia="宋体"/>
                <w:b w:val="0"/>
                <w:sz w:val="20"/>
              </w:rPr>
              <w:t>23</w:t>
            </w:r>
          </w:p>
        </w:tc>
        <w:tc>
          <w:tcPr>
            <w:tcW w:type="dxa" w:w="1814"/>
          </w:tcPr>
          <w:p>
            <w:pPr>
              <w:spacing w:line="240" w:lineRule="auto"/>
              <w:jc w:val="center"/>
            </w:pPr>
            <w:r>
              <w:rPr>
                <w:sz w:val="20"/>
              </w:rPr>
            </w:r>
            <w:r>
              <w:rPr>
                <w:rFonts w:ascii="Times New Roman" w:hAnsi="Times New Roman" w:eastAsia="宋体"/>
                <w:b w:val="0"/>
                <w:sz w:val="20"/>
              </w:rPr>
              <w:t>81</w:t>
            </w:r>
          </w:p>
        </w:tc>
        <w:tc>
          <w:tcPr>
            <w:tcW w:type="dxa" w:w="1814"/>
          </w:tcPr>
          <w:p>
            <w:pPr>
              <w:spacing w:line="240" w:lineRule="auto"/>
              <w:jc w:val="center"/>
            </w:pPr>
            <w:r>
              <w:rPr>
                <w:sz w:val="20"/>
              </w:rPr>
            </w:r>
            <w:r>
              <w:rPr>
                <w:rFonts w:ascii="Times New Roman" w:hAnsi="Times New Roman" w:eastAsia="宋体"/>
                <w:b w:val="0"/>
                <w:sz w:val="20"/>
              </w:rPr>
              <w:t>23</w:t>
            </w:r>
          </w:p>
        </w:tc>
        <w:tc>
          <w:tcPr>
            <w:tcW w:type="dxa" w:w="1814"/>
          </w:tcPr>
          <w:p>
            <w:pPr>
              <w:spacing w:line="240" w:lineRule="auto"/>
              <w:jc w:val="center"/>
            </w:pPr>
            <w:r>
              <w:rPr>
                <w:sz w:val="20"/>
              </w:rPr>
            </w:r>
            <w:r>
              <w:rPr>
                <w:rFonts w:ascii="Times New Roman" w:hAnsi="Times New Roman" w:eastAsia="宋体"/>
                <w:b w:val="0"/>
                <w:sz w:val="20"/>
              </w:rPr>
              <w:t>478</w:t>
            </w:r>
          </w:p>
        </w:tc>
      </w:tr>
      <w:tr>
        <w:tc>
          <w:tcPr>
            <w:tcW w:type="dxa" w:w="1814"/>
          </w:tcPr>
          <w:p>
            <w:pPr>
              <w:spacing w:line="240" w:lineRule="auto"/>
              <w:jc w:val="center"/>
            </w:pPr>
            <w:r>
              <w:rPr>
                <w:sz w:val="20"/>
              </w:rPr>
            </w:r>
            <w:r>
              <w:rPr>
                <w:rFonts w:ascii="Times New Roman" w:hAnsi="Times New Roman" w:eastAsia="宋体"/>
                <w:b w:val="0"/>
                <w:sz w:val="20"/>
              </w:rPr>
              <w:t>T21</w:t>
            </w:r>
          </w:p>
        </w:tc>
        <w:tc>
          <w:tcPr>
            <w:tcW w:type="dxa" w:w="1814"/>
          </w:tcPr>
          <w:p>
            <w:pPr>
              <w:spacing w:line="240" w:lineRule="auto"/>
              <w:jc w:val="center"/>
            </w:pPr>
            <w:r>
              <w:rPr>
                <w:sz w:val="20"/>
              </w:rPr>
            </w:r>
            <w:r>
              <w:rPr>
                <w:rFonts w:ascii="Times New Roman" w:hAnsi="Times New Roman" w:eastAsia="宋体"/>
                <w:b w:val="0"/>
                <w:sz w:val="20"/>
              </w:rPr>
              <w:t>2</w:t>
            </w:r>
          </w:p>
        </w:tc>
        <w:tc>
          <w:tcPr>
            <w:tcW w:type="dxa" w:w="1814"/>
          </w:tcPr>
          <w:p>
            <w:pPr>
              <w:spacing w:line="240" w:lineRule="auto"/>
              <w:jc w:val="center"/>
            </w:pPr>
            <w:r>
              <w:rPr>
                <w:sz w:val="20"/>
              </w:rPr>
            </w:r>
            <w:r>
              <w:rPr>
                <w:rFonts w:ascii="Times New Roman" w:hAnsi="Times New Roman" w:eastAsia="宋体"/>
                <w:b w:val="0"/>
                <w:sz w:val="20"/>
              </w:rPr>
              <w:t>97</w:t>
            </w:r>
          </w:p>
        </w:tc>
        <w:tc>
          <w:tcPr>
            <w:tcW w:type="dxa" w:w="1814"/>
          </w:tcPr>
          <w:p>
            <w:pPr>
              <w:spacing w:line="240" w:lineRule="auto"/>
              <w:jc w:val="center"/>
            </w:pPr>
            <w:r>
              <w:rPr>
                <w:sz w:val="20"/>
              </w:rPr>
            </w:r>
            <w:r>
              <w:rPr>
                <w:rFonts w:ascii="Times New Roman" w:hAnsi="Times New Roman" w:eastAsia="宋体"/>
                <w:b w:val="0"/>
                <w:sz w:val="20"/>
              </w:rPr>
              <w:t>11</w:t>
            </w:r>
          </w:p>
        </w:tc>
        <w:tc>
          <w:tcPr>
            <w:tcW w:type="dxa" w:w="1814"/>
          </w:tcPr>
          <w:p>
            <w:pPr>
              <w:spacing w:line="240" w:lineRule="auto"/>
              <w:jc w:val="center"/>
            </w:pPr>
            <w:r>
              <w:rPr>
                <w:sz w:val="20"/>
              </w:rPr>
            </w:r>
            <w:r>
              <w:rPr>
                <w:rFonts w:ascii="Times New Roman" w:hAnsi="Times New Roman" w:eastAsia="宋体"/>
                <w:b w:val="0"/>
                <w:sz w:val="20"/>
              </w:rPr>
              <w:t>495</w:t>
            </w:r>
          </w:p>
        </w:tc>
      </w:tr>
      <w:tr>
        <w:tc>
          <w:tcPr>
            <w:tcW w:type="dxa" w:w="1814"/>
          </w:tcPr>
          <w:p>
            <w:pPr>
              <w:spacing w:line="240" w:lineRule="auto"/>
              <w:jc w:val="center"/>
            </w:pPr>
            <w:r>
              <w:rPr>
                <w:sz w:val="20"/>
              </w:rPr>
            </w:r>
            <w:r>
              <w:rPr>
                <w:rFonts w:ascii="Times New Roman" w:hAnsi="Times New Roman" w:eastAsia="宋体"/>
                <w:b w:val="0"/>
                <w:sz w:val="20"/>
              </w:rPr>
              <w:t>任一异常标记</w:t>
            </w:r>
          </w:p>
        </w:tc>
        <w:tc>
          <w:tcPr>
            <w:tcW w:type="dxa" w:w="1814"/>
          </w:tcPr>
          <w:p>
            <w:pPr>
              <w:spacing w:line="240" w:lineRule="auto"/>
              <w:jc w:val="center"/>
            </w:pPr>
            <w:r>
              <w:rPr>
                <w:sz w:val="20"/>
              </w:rPr>
            </w:r>
            <w:r>
              <w:rPr>
                <w:rFonts w:ascii="Times New Roman" w:hAnsi="Times New Roman" w:eastAsia="宋体"/>
                <w:b w:val="0"/>
                <w:sz w:val="20"/>
              </w:rPr>
              <w:t>12</w:t>
            </w:r>
          </w:p>
        </w:tc>
        <w:tc>
          <w:tcPr>
            <w:tcW w:type="dxa" w:w="1814"/>
          </w:tcPr>
          <w:p>
            <w:pPr>
              <w:spacing w:line="240" w:lineRule="auto"/>
              <w:jc w:val="center"/>
            </w:pPr>
            <w:r>
              <w:rPr>
                <w:sz w:val="20"/>
              </w:rPr>
            </w:r>
            <w:r>
              <w:rPr>
                <w:rFonts w:ascii="Times New Roman" w:hAnsi="Times New Roman" w:eastAsia="宋体"/>
                <w:b w:val="0"/>
                <w:sz w:val="20"/>
              </w:rPr>
              <w:t>8</w:t>
            </w:r>
          </w:p>
        </w:tc>
        <w:tc>
          <w:tcPr>
            <w:tcW w:type="dxa" w:w="1814"/>
          </w:tcPr>
          <w:p>
            <w:pPr>
              <w:spacing w:line="240" w:lineRule="auto"/>
              <w:jc w:val="center"/>
            </w:pPr>
            <w:r>
              <w:rPr>
                <w:sz w:val="20"/>
              </w:rPr>
            </w:r>
            <w:r>
              <w:rPr>
                <w:rFonts w:ascii="Times New Roman" w:hAnsi="Times New Roman" w:eastAsia="宋体"/>
                <w:b w:val="0"/>
                <w:sz w:val="20"/>
              </w:rPr>
              <w:t>55</w:t>
            </w:r>
          </w:p>
        </w:tc>
        <w:tc>
          <w:tcPr>
            <w:tcW w:type="dxa" w:w="1814"/>
          </w:tcPr>
          <w:p>
            <w:pPr>
              <w:spacing w:line="240" w:lineRule="auto"/>
              <w:jc w:val="center"/>
            </w:pPr>
            <w:r>
              <w:rPr>
                <w:sz w:val="20"/>
              </w:rPr>
            </w:r>
            <w:r>
              <w:rPr>
                <w:rFonts w:ascii="Times New Roman" w:hAnsi="Times New Roman" w:eastAsia="宋体"/>
                <w:b w:val="0"/>
                <w:sz w:val="20"/>
              </w:rPr>
              <w:t>530</w:t>
            </w:r>
          </w:p>
        </w:tc>
      </w:tr>
    </w:tbl>
    <w:p>
      <w:pPr>
        <w:spacing w:before="0" w:after="0" w:line="300" w:lineRule="auto"/>
      </w:pPr>
      <w:r>
        <w:rPr>
          <w:rFonts w:ascii="Times New Roman" w:hAnsi="Times New Roman" w:eastAsia="宋体"/>
          <w:b w:val="0"/>
          <w:sz w:val="28"/>
        </w:rPr>
        <w:t>7.4 校准与不确定性</w:t>
      </w:r>
    </w:p>
    <w:p>
      <w:pPr>
        <w:spacing w:before="0" w:after="0" w:line="264" w:lineRule="auto"/>
        <w:ind w:firstLine="480"/>
      </w:pPr>
      <w:r>
        <w:rPr>
          <w:rFonts w:ascii="Times New Roman" w:hAnsi="Times New Roman" w:eastAsia="宋体"/>
          <w:b w:val="0"/>
          <w:sz w:val="24"/>
        </w:rPr>
        <w:t>图12给出总体异常概率的校准分箱。较高概率区间样本较少，例如最高展示箱只有10条记录、9名孕妇，不能因少数箱接近对角线就宣称模型已经充分校准。较低概率区间虽然记录较多，仍需注意同一孕妇多次检测的相关性。校准检查应同时看概率差异和支持人数，不能只看曲线是否平滑。</w:t>
      </w:r>
    </w:p>
    <w:p>
      <w:pPr>
        <w:spacing w:before="0" w:after="0" w:line="300" w:lineRule="auto"/>
        <w:jc w:val="center"/>
      </w:pPr>
      <w:r>
        <w:drawing>
          <wp:inline xmlns:a="http://schemas.openxmlformats.org/drawingml/2006/main" xmlns:pic="http://schemas.openxmlformats.org/drawingml/2006/picture">
            <wp:extent cx="5472000" cy="310080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72000" cy="3100800"/>
                    </a:xfrm>
                    <a:prstGeom prst="rect"/>
                  </pic:spPr>
                </pic:pic>
              </a:graphicData>
            </a:graphic>
          </wp:inline>
        </w:drawing>
      </w:r>
    </w:p>
    <w:p>
      <w:pPr>
        <w:spacing w:before="0" w:after="0" w:line="300" w:lineRule="auto"/>
        <w:jc w:val="center"/>
      </w:pPr>
      <w:r>
        <w:rPr>
          <w:rFonts w:ascii="Times New Roman" w:hAnsi="Times New Roman" w:eastAsia="宋体"/>
          <w:b w:val="0"/>
          <w:sz w:val="20"/>
        </w:rPr>
        <w:t>图12 女胎总体异常标记的外层概率校准</w:t>
      </w:r>
    </w:p>
    <w:p>
      <w:pPr>
        <w:spacing w:before="0" w:after="0" w:line="264" w:lineRule="auto"/>
        <w:ind w:firstLine="480"/>
      </w:pPr>
      <w:r>
        <w:rPr>
          <w:rFonts w:ascii="Times New Roman" w:hAnsi="Times New Roman" w:eastAsia="宋体"/>
          <w:b w:val="0"/>
          <w:sz w:val="24"/>
        </w:rPr>
        <w:t>对147名孕妇的固定外层平均损失进行2000次配对重采样，得到模型相对常数率对照的主体Brier差值区间，结果见图13和表12。T18差值约−0.00929，区间−0.01685至−0.00294；总体差值约−0.01527，区间−0.02575至−0.00663；T13与T21区间跨零。这些区间支持当前预测下的相对比较，但不包含重新训练、重新分折或目标选择的不确定性。</w:t>
      </w:r>
    </w:p>
    <w:p>
      <w:pPr>
        <w:spacing w:before="0" w:after="0" w:line="264" w:lineRule="auto"/>
        <w:ind w:firstLine="480"/>
      </w:pPr>
      <w:r>
        <w:rPr>
          <w:rFonts w:ascii="Times New Roman" w:hAnsi="Times New Roman" w:eastAsia="宋体"/>
          <w:b w:val="0"/>
          <w:sz w:val="24"/>
        </w:rPr>
        <w:t>表12 女胎模型相对常数率的主体Brier差值</w:t>
      </w:r>
    </w:p>
    <w:tbl>
      <w:tblPr>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ook w:firstColumn="1" w:firstRow="1" w:lastColumn="0" w:lastRow="0" w:noHBand="0" w:noVBand="1" w:val="04A0"/>
      </w:tblPr>
      <w:tblGrid>
        <w:gridCol w:w="2268"/>
        <w:gridCol w:w="2268"/>
        <w:gridCol w:w="2268"/>
        <w:gridCol w:w="2268"/>
      </w:tblGrid>
      <w:tr>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目标</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差值</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主体重采样95%区间</w:t>
            </w:r>
          </w:p>
        </w:tc>
        <w:tc>
          <w:tcPr>
            <w:tcW w:type="dxa" w:w="2268"/>
            <w:tcBorders>
              <w:bottom w:val="single" w:sz="4" w:space="0" w:color="000000"/>
            </w:tcBorders>
          </w:tcPr>
          <w:p>
            <w:pPr>
              <w:spacing w:line="240" w:lineRule="auto"/>
              <w:jc w:val="center"/>
            </w:pPr>
            <w:r>
              <w:rPr>
                <w:sz w:val="20"/>
              </w:rPr>
            </w:r>
            <w:r>
              <w:rPr>
                <w:rFonts w:ascii="Times New Roman" w:hAnsi="Times New Roman" w:eastAsia="宋体"/>
                <w:b/>
                <w:sz w:val="20"/>
              </w:rPr>
              <w:t>解释</w:t>
            </w:r>
          </w:p>
        </w:tc>
      </w:tr>
      <w:tr>
        <w:tc>
          <w:tcPr>
            <w:tcW w:type="dxa" w:w="2268"/>
          </w:tcPr>
          <w:p>
            <w:pPr>
              <w:spacing w:line="240" w:lineRule="auto"/>
              <w:jc w:val="center"/>
            </w:pPr>
            <w:r>
              <w:rPr>
                <w:sz w:val="20"/>
              </w:rPr>
            </w:r>
            <w:r>
              <w:rPr>
                <w:rFonts w:ascii="Times New Roman" w:hAnsi="Times New Roman" w:eastAsia="宋体"/>
                <w:b w:val="0"/>
                <w:sz w:val="20"/>
              </w:rPr>
              <w:t>T13</w:t>
            </w:r>
          </w:p>
        </w:tc>
        <w:tc>
          <w:tcPr>
            <w:tcW w:type="dxa" w:w="2268"/>
          </w:tcPr>
          <w:p>
            <w:pPr>
              <w:spacing w:line="240" w:lineRule="auto"/>
              <w:jc w:val="center"/>
            </w:pPr>
            <w:r>
              <w:rPr>
                <w:sz w:val="20"/>
              </w:rPr>
            </w:r>
            <w:r>
              <w:rPr>
                <w:rFonts w:ascii="Times New Roman" w:hAnsi="Times New Roman" w:eastAsia="宋体"/>
                <w:b w:val="0"/>
                <w:sz w:val="20"/>
              </w:rPr>
              <w:t>−0.00375</w:t>
            </w:r>
          </w:p>
        </w:tc>
        <w:tc>
          <w:tcPr>
            <w:tcW w:type="dxa" w:w="2268"/>
          </w:tcPr>
          <w:p>
            <w:pPr>
              <w:spacing w:line="240" w:lineRule="auto"/>
              <w:jc w:val="center"/>
            </w:pPr>
            <w:r>
              <w:rPr>
                <w:sz w:val="20"/>
              </w:rPr>
            </w:r>
            <w:r>
              <w:rPr>
                <w:rFonts w:ascii="Times New Roman" w:hAnsi="Times New Roman" w:eastAsia="宋体"/>
                <w:b w:val="0"/>
                <w:sz w:val="20"/>
              </w:rPr>
              <w:t>[−0.00949, 0.00025]</w:t>
            </w:r>
          </w:p>
        </w:tc>
        <w:tc>
          <w:tcPr>
            <w:tcW w:type="dxa" w:w="2268"/>
          </w:tcPr>
          <w:p>
            <w:pPr>
              <w:spacing w:line="240" w:lineRule="auto"/>
              <w:jc w:val="center"/>
            </w:pPr>
            <w:r>
              <w:rPr>
                <w:sz w:val="20"/>
              </w:rPr>
            </w:r>
            <w:r>
              <w:rPr>
                <w:rFonts w:ascii="Times New Roman" w:hAnsi="Times New Roman" w:eastAsia="宋体"/>
                <w:b w:val="0"/>
                <w:sz w:val="20"/>
              </w:rPr>
              <w:t>增益不稳定</w:t>
            </w:r>
          </w:p>
        </w:tc>
      </w:tr>
      <w:tr>
        <w:tc>
          <w:tcPr>
            <w:tcW w:type="dxa" w:w="2268"/>
          </w:tcPr>
          <w:p>
            <w:pPr>
              <w:spacing w:line="240" w:lineRule="auto"/>
              <w:jc w:val="center"/>
            </w:pPr>
            <w:r>
              <w:rPr>
                <w:sz w:val="20"/>
              </w:rPr>
            </w:r>
            <w:r>
              <w:rPr>
                <w:rFonts w:ascii="Times New Roman" w:hAnsi="Times New Roman" w:eastAsia="宋体"/>
                <w:b w:val="0"/>
                <w:sz w:val="20"/>
              </w:rPr>
              <w:t>T18</w:t>
            </w:r>
          </w:p>
        </w:tc>
        <w:tc>
          <w:tcPr>
            <w:tcW w:type="dxa" w:w="2268"/>
          </w:tcPr>
          <w:p>
            <w:pPr>
              <w:spacing w:line="240" w:lineRule="auto"/>
              <w:jc w:val="center"/>
            </w:pPr>
            <w:r>
              <w:rPr>
                <w:sz w:val="20"/>
              </w:rPr>
            </w:r>
            <w:r>
              <w:rPr>
                <w:rFonts w:ascii="Times New Roman" w:hAnsi="Times New Roman" w:eastAsia="宋体"/>
                <w:b w:val="0"/>
                <w:sz w:val="20"/>
              </w:rPr>
              <w:t>−0.00929</w:t>
            </w:r>
          </w:p>
        </w:tc>
        <w:tc>
          <w:tcPr>
            <w:tcW w:type="dxa" w:w="2268"/>
          </w:tcPr>
          <w:p>
            <w:pPr>
              <w:spacing w:line="240" w:lineRule="auto"/>
              <w:jc w:val="center"/>
            </w:pPr>
            <w:r>
              <w:rPr>
                <w:sz w:val="20"/>
              </w:rPr>
            </w:r>
            <w:r>
              <w:rPr>
                <w:rFonts w:ascii="Times New Roman" w:hAnsi="Times New Roman" w:eastAsia="宋体"/>
                <w:b w:val="0"/>
                <w:sz w:val="20"/>
              </w:rPr>
              <w:t>[−0.01685, −0.00294]</w:t>
            </w:r>
          </w:p>
        </w:tc>
        <w:tc>
          <w:tcPr>
            <w:tcW w:type="dxa" w:w="2268"/>
          </w:tcPr>
          <w:p>
            <w:pPr>
              <w:spacing w:line="240" w:lineRule="auto"/>
              <w:jc w:val="center"/>
            </w:pPr>
            <w:r>
              <w:rPr>
                <w:sz w:val="20"/>
              </w:rPr>
            </w:r>
            <w:r>
              <w:rPr>
                <w:rFonts w:ascii="Times New Roman" w:hAnsi="Times New Roman" w:eastAsia="宋体"/>
                <w:b w:val="0"/>
                <w:sz w:val="20"/>
              </w:rPr>
              <w:t>当前外层概率有改善</w:t>
            </w:r>
          </w:p>
        </w:tc>
      </w:tr>
      <w:tr>
        <w:tc>
          <w:tcPr>
            <w:tcW w:type="dxa" w:w="2268"/>
          </w:tcPr>
          <w:p>
            <w:pPr>
              <w:spacing w:line="240" w:lineRule="auto"/>
              <w:jc w:val="center"/>
            </w:pPr>
            <w:r>
              <w:rPr>
                <w:sz w:val="20"/>
              </w:rPr>
            </w:r>
            <w:r>
              <w:rPr>
                <w:rFonts w:ascii="Times New Roman" w:hAnsi="Times New Roman" w:eastAsia="宋体"/>
                <w:b w:val="0"/>
                <w:sz w:val="20"/>
              </w:rPr>
              <w:t>T21</w:t>
            </w:r>
          </w:p>
        </w:tc>
        <w:tc>
          <w:tcPr>
            <w:tcW w:type="dxa" w:w="2268"/>
          </w:tcPr>
          <w:p>
            <w:pPr>
              <w:spacing w:line="240" w:lineRule="auto"/>
              <w:jc w:val="center"/>
            </w:pPr>
            <w:r>
              <w:rPr>
                <w:sz w:val="20"/>
              </w:rPr>
            </w:r>
            <w:r>
              <w:rPr>
                <w:rFonts w:ascii="Times New Roman" w:hAnsi="Times New Roman" w:eastAsia="宋体"/>
                <w:b w:val="0"/>
                <w:sz w:val="20"/>
              </w:rPr>
              <w:t>0.00021</w:t>
            </w:r>
          </w:p>
        </w:tc>
        <w:tc>
          <w:tcPr>
            <w:tcW w:type="dxa" w:w="2268"/>
          </w:tcPr>
          <w:p>
            <w:pPr>
              <w:spacing w:line="240" w:lineRule="auto"/>
              <w:jc w:val="center"/>
            </w:pPr>
            <w:r>
              <w:rPr>
                <w:sz w:val="20"/>
              </w:rPr>
            </w:r>
            <w:r>
              <w:rPr>
                <w:rFonts w:ascii="Times New Roman" w:hAnsi="Times New Roman" w:eastAsia="宋体"/>
                <w:b w:val="0"/>
                <w:sz w:val="20"/>
              </w:rPr>
              <w:t>[−0.00016, 0.00055]</w:t>
            </w:r>
          </w:p>
        </w:tc>
        <w:tc>
          <w:tcPr>
            <w:tcW w:type="dxa" w:w="2268"/>
          </w:tcPr>
          <w:p>
            <w:pPr>
              <w:spacing w:line="240" w:lineRule="auto"/>
              <w:jc w:val="center"/>
            </w:pPr>
            <w:r>
              <w:rPr>
                <w:sz w:val="20"/>
              </w:rPr>
            </w:r>
            <w:r>
              <w:rPr>
                <w:rFonts w:ascii="Times New Roman" w:hAnsi="Times New Roman" w:eastAsia="宋体"/>
                <w:b w:val="0"/>
                <w:sz w:val="20"/>
              </w:rPr>
              <w:t>未显示改善</w:t>
            </w:r>
          </w:p>
        </w:tc>
      </w:tr>
      <w:tr>
        <w:tc>
          <w:tcPr>
            <w:tcW w:type="dxa" w:w="2268"/>
          </w:tcPr>
          <w:p>
            <w:pPr>
              <w:spacing w:line="240" w:lineRule="auto"/>
              <w:jc w:val="center"/>
            </w:pPr>
            <w:r>
              <w:rPr>
                <w:sz w:val="20"/>
              </w:rPr>
            </w:r>
            <w:r>
              <w:rPr>
                <w:rFonts w:ascii="Times New Roman" w:hAnsi="Times New Roman" w:eastAsia="宋体"/>
                <w:b w:val="0"/>
                <w:sz w:val="20"/>
              </w:rPr>
              <w:t>任一异常标记</w:t>
            </w:r>
          </w:p>
        </w:tc>
        <w:tc>
          <w:tcPr>
            <w:tcW w:type="dxa" w:w="2268"/>
          </w:tcPr>
          <w:p>
            <w:pPr>
              <w:spacing w:line="240" w:lineRule="auto"/>
              <w:jc w:val="center"/>
            </w:pPr>
            <w:r>
              <w:rPr>
                <w:sz w:val="20"/>
              </w:rPr>
            </w:r>
            <w:r>
              <w:rPr>
                <w:rFonts w:ascii="Times New Roman" w:hAnsi="Times New Roman" w:eastAsia="宋体"/>
                <w:b w:val="0"/>
                <w:sz w:val="20"/>
              </w:rPr>
              <w:t>−0.01527</w:t>
            </w:r>
          </w:p>
        </w:tc>
        <w:tc>
          <w:tcPr>
            <w:tcW w:type="dxa" w:w="2268"/>
          </w:tcPr>
          <w:p>
            <w:pPr>
              <w:spacing w:line="240" w:lineRule="auto"/>
              <w:jc w:val="center"/>
            </w:pPr>
            <w:r>
              <w:rPr>
                <w:sz w:val="20"/>
              </w:rPr>
            </w:r>
            <w:r>
              <w:rPr>
                <w:rFonts w:ascii="Times New Roman" w:hAnsi="Times New Roman" w:eastAsia="宋体"/>
                <w:b w:val="0"/>
                <w:sz w:val="20"/>
              </w:rPr>
              <w:t>[−0.02575, −0.00663]</w:t>
            </w:r>
          </w:p>
        </w:tc>
        <w:tc>
          <w:tcPr>
            <w:tcW w:type="dxa" w:w="2268"/>
          </w:tcPr>
          <w:p>
            <w:pPr>
              <w:spacing w:line="240" w:lineRule="auto"/>
              <w:jc w:val="center"/>
            </w:pPr>
            <w:r>
              <w:rPr>
                <w:sz w:val="20"/>
              </w:rPr>
            </w:r>
            <w:r>
              <w:rPr>
                <w:rFonts w:ascii="Times New Roman" w:hAnsi="Times New Roman" w:eastAsia="宋体"/>
                <w:b w:val="0"/>
                <w:sz w:val="20"/>
              </w:rPr>
              <w:t>当前外层概率有改善</w:t>
            </w:r>
          </w:p>
        </w:tc>
      </w:tr>
    </w:tbl>
    <w:p>
      <w:pPr>
        <w:spacing w:before="0" w:after="0" w:line="300" w:lineRule="auto"/>
        <w:jc w:val="center"/>
      </w:pPr>
      <w:r>
        <w:drawing>
          <wp:inline xmlns:a="http://schemas.openxmlformats.org/drawingml/2006/main" xmlns:pic="http://schemas.openxmlformats.org/drawingml/2006/picture">
            <wp:extent cx="5472000" cy="310080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72000" cy="3100800"/>
                    </a:xfrm>
                    <a:prstGeom prst="rect"/>
                  </pic:spPr>
                </pic:pic>
              </a:graphicData>
            </a:graphic>
          </wp:inline>
        </w:drawing>
      </w:r>
    </w:p>
    <w:p>
      <w:pPr>
        <w:spacing w:before="0" w:after="0" w:line="300" w:lineRule="auto"/>
        <w:jc w:val="center"/>
      </w:pPr>
      <w:r>
        <w:rPr>
          <w:rFonts w:ascii="Times New Roman" w:hAnsi="Times New Roman" w:eastAsia="宋体"/>
          <w:b w:val="0"/>
          <w:sz w:val="20"/>
        </w:rPr>
        <w:t>图13 女胎各目标相对常数率的主体Brier差值区间</w:t>
      </w:r>
    </w:p>
    <w:p>
      <w:pPr>
        <w:spacing w:before="0" w:after="0" w:line="300" w:lineRule="auto"/>
      </w:pPr>
      <w:r>
        <w:rPr>
          <w:rFonts w:ascii="Times New Roman" w:hAnsi="Times New Roman" w:eastAsia="宋体"/>
          <w:b w:val="0"/>
          <w:sz w:val="28"/>
        </w:rPr>
        <w:t>7.5 判定方法的局限</w:t>
      </w:r>
    </w:p>
    <w:p>
      <w:pPr>
        <w:spacing w:before="0" w:after="0" w:line="264" w:lineRule="auto"/>
        <w:ind w:firstLine="480"/>
      </w:pPr>
      <w:r>
        <w:rPr>
          <w:rFonts w:ascii="Times New Roman" w:hAnsi="Times New Roman" w:eastAsia="宋体"/>
          <w:b w:val="0"/>
          <w:sz w:val="24"/>
        </w:rPr>
        <w:t>问题四的最终产出是带有验证结果和失败边界的异常标记判定流程，而不是可直接用于临床诊断的分类器。附件中的标记可能本身依赖染色体统计量，模型学习到的部分关系可能是原标记规则的再表达；缺少独立确诊金标准时，不能把与标记一致称为确诊准确率。即使主体划分没有泄漏，标签定义层面的依赖仍须单独说明。</w:t>
      </w:r>
    </w:p>
    <w:p>
      <w:pPr>
        <w:spacing w:before="0" w:after="0" w:line="264" w:lineRule="auto"/>
        <w:ind w:firstLine="480"/>
      </w:pPr>
      <w:r>
        <w:rPr>
          <w:rFonts w:ascii="Times New Roman" w:hAnsi="Times New Roman" w:eastAsia="宋体"/>
          <w:b w:val="0"/>
          <w:sz w:val="24"/>
        </w:rPr>
        <w:t>稀有阳性主体限制了模型复杂度和校准精度。当前T21只有12名阳性孕妇，增加高容量模型并不能自动产生缺失信息，反而可能扩大方差。改进应优先补充独立阳性样本、核对标签与临床结局关系、预先确定漏诊代价，再比较模型。本文保留低复杂度方法和负面结果，以免用大量算法试验造成选择性报告。</w:t>
      </w:r>
    </w:p>
    <w:p>
      <w:pPr>
        <w:pageBreakBefore w:val="0"/>
        <w:spacing w:before="0" w:after="0" w:line="300" w:lineRule="auto"/>
        <w:jc w:val="center"/>
      </w:pPr>
      <w:r>
        <w:rPr>
          <w:rFonts w:ascii="Times New Roman" w:hAnsi="Times New Roman" w:eastAsia="宋体"/>
          <w:b/>
          <w:sz w:val="32"/>
        </w:rPr>
        <w:t>8 综合评价与结论</w:t>
      </w:r>
    </w:p>
    <w:p>
      <w:pPr>
        <w:spacing w:before="0" w:after="0" w:line="264" w:lineRule="auto"/>
        <w:ind w:firstLine="480"/>
      </w:pPr>
      <w:r>
        <w:rPr>
          <w:rFonts w:ascii="Times New Roman" w:hAnsi="Times New Roman" w:eastAsia="宋体"/>
          <w:b w:val="0"/>
          <w:sz w:val="24"/>
        </w:rPr>
        <w:t>结合表1和表2的数据口径、表4与表6的主体预测比较，以及表10和图12的分类概率表现，可以看到：本文各项结果必须在对应样本单位、链接尺度和信息条件下解释，不能用某一项较好的数字代替整套验证。</w:t>
      </w:r>
    </w:p>
    <w:p>
      <w:pPr>
        <w:spacing w:before="0" w:after="0" w:line="300" w:lineRule="auto"/>
      </w:pPr>
      <w:r>
        <w:rPr>
          <w:rFonts w:ascii="Times New Roman" w:hAnsi="Times New Roman" w:eastAsia="宋体"/>
          <w:b w:val="0"/>
          <w:sz w:val="28"/>
        </w:rPr>
        <w:t>8.1 方法优点</w:t>
      </w:r>
    </w:p>
    <w:p>
      <w:pPr>
        <w:spacing w:before="0" w:after="0" w:line="264" w:lineRule="auto"/>
        <w:ind w:firstLine="480"/>
      </w:pPr>
      <w:r>
        <w:rPr>
          <w:rFonts w:ascii="Times New Roman" w:hAnsi="Times New Roman" w:eastAsia="宋体"/>
          <w:b w:val="0"/>
          <w:sz w:val="24"/>
        </w:rPr>
        <w:t>本文首先把主体、抽血和测序层级分开，避免重复记录造成虚假的独立样本量；其次将关联解释、概率预测和风险决策明确拆分，避免把训练拟合优度直接转化成预约建议。对新孕妇采用随机效应积分，使信息条件与首次检测相匹配。连续BMI分组通过动态规划求解，并加入最小主体数、同值不拆分和局部观测支持约束，给出明确的可行解与离散最优性范围。</w:t>
      </w:r>
    </w:p>
    <w:p>
      <w:pPr>
        <w:spacing w:before="0" w:after="0" w:line="264" w:lineRule="auto"/>
        <w:ind w:firstLine="480"/>
      </w:pPr>
      <w:r>
        <w:rPr>
          <w:rFonts w:ascii="Times New Roman" w:hAnsi="Times New Roman" w:eastAsia="宋体"/>
          <w:b w:val="0"/>
          <w:sz w:val="24"/>
        </w:rPr>
        <w:t>验证围绕实际推广目标设计：外层按孕妇划分，内层才进行样条选择、校准或阈值设定；对照使用训练折常数率，避免异常类别占比带来的误导；误差试验既重新抽样主体又重新拟合模型，覆盖分组变化而不只是给固定曲线增加误差条。各问均保留未显示稳定优势的方案和失败类别，使结论能够反映数据本身的限制。</w:t>
      </w:r>
    </w:p>
    <w:p>
      <w:pPr>
        <w:spacing w:before="0" w:after="0" w:line="300" w:lineRule="auto"/>
      </w:pPr>
      <w:r>
        <w:rPr>
          <w:rFonts w:ascii="Times New Roman" w:hAnsi="Times New Roman" w:eastAsia="宋体"/>
          <w:b w:val="0"/>
          <w:sz w:val="28"/>
        </w:rPr>
        <w:t>8.2 主要不足</w:t>
      </w:r>
    </w:p>
    <w:p>
      <w:pPr>
        <w:spacing w:before="0" w:after="0" w:line="264" w:lineRule="auto"/>
        <w:ind w:firstLine="480"/>
      </w:pPr>
      <w:r>
        <w:rPr>
          <w:rFonts w:ascii="Times New Roman" w:hAnsi="Times New Roman" w:eastAsia="宋体"/>
          <w:b w:val="0"/>
          <w:sz w:val="24"/>
        </w:rPr>
        <w:t>数据来自特定检测与随访机制，高BMI、早孕时段以及稀有异常的覆盖不均匀。当前随机截距模型没有完全描述选择性复检，也没有识别复检安排与潜在浓度之间的依赖。首条BMI作为预约前代理是回顾性假设，不能在更早时点真实获得的信息必须另行采集。支持约束只是避免明显无数据区域，并不等于排除了外推风险。</w:t>
      </w:r>
    </w:p>
    <w:p>
      <w:pPr>
        <w:spacing w:before="0" w:after="0" w:line="264" w:lineRule="auto"/>
        <w:ind w:firstLine="480"/>
      </w:pPr>
      <w:r>
        <w:rPr>
          <w:rFonts w:ascii="Times New Roman" w:hAnsi="Times New Roman" w:eastAsia="宋体"/>
          <w:b w:val="0"/>
          <w:sz w:val="24"/>
        </w:rPr>
        <w:t>风险函数权重尚无真实效用标定，13周阶跃会导致12周6天附近的边界解，11周和25周也会受搜索域影响。测量尺度仅由14名孕妇的同次抽血重复估计，20轮追加噪声试验只适合探索，不支持精细尾部推断。女胎目标是筛查标记而非确诊结局，当前阈值选择没有编码临床漏诊成本。这些局限不会使计算结果无效，但会限制结果的解释与应用范围。</w:t>
      </w:r>
    </w:p>
    <w:p>
      <w:pPr>
        <w:spacing w:before="0" w:after="0" w:line="300" w:lineRule="auto"/>
      </w:pPr>
      <w:r>
        <w:rPr>
          <w:rFonts w:ascii="Times New Roman" w:hAnsi="Times New Roman" w:eastAsia="宋体"/>
          <w:b w:val="0"/>
          <w:sz w:val="28"/>
        </w:rPr>
        <w:t>8.3 四问答案</w:t>
      </w:r>
    </w:p>
    <w:p>
      <w:pPr>
        <w:spacing w:before="0" w:after="0" w:line="264" w:lineRule="auto"/>
        <w:ind w:firstLine="480"/>
      </w:pPr>
      <w:r>
        <w:rPr>
          <w:rFonts w:ascii="Times New Roman" w:hAnsi="Times New Roman" w:eastAsia="宋体"/>
          <w:b w:val="0"/>
          <w:sz w:val="24"/>
        </w:rPr>
        <w:t>问题一：孕周与Y浓度呈正向统计关联，BMI呈负向关联，交互项证据不足；图2和图3展示方向，表3给出估计与区间。组内相关系数0.7283表明必须处理重复测量；图4及外层R²为−0.0302说明显著关联不等于足够的个体预测能力。</w:t>
      </w:r>
    </w:p>
    <w:p>
      <w:pPr>
        <w:spacing w:before="0" w:after="0" w:line="264" w:lineRule="auto"/>
        <w:ind w:firstLine="480"/>
      </w:pPr>
      <w:r>
        <w:rPr>
          <w:rFonts w:ascii="Times New Roman" w:hAnsi="Times New Roman" w:eastAsia="宋体"/>
          <w:b w:val="0"/>
          <w:sz w:val="24"/>
        </w:rPr>
        <w:t>问题二：使用边际达标概率、连续BMI动态规划和观测支持约束，得到表5的条件三组方案：11周、11周6天和12周6天。该答案绑定4%阈值与中延迟代价，不具有脱离代价的唯一最优含义。图5展示概率趋势，图6和图7同时揭示校准及早期观测限制。</w:t>
      </w:r>
    </w:p>
    <w:p>
      <w:pPr>
        <w:spacing w:before="0" w:after="0" w:line="264" w:lineRule="auto"/>
        <w:ind w:firstLine="480"/>
      </w:pPr>
      <w:r>
        <w:rPr>
          <w:rFonts w:ascii="Times New Roman" w:hAnsi="Times New Roman" w:eastAsia="宋体"/>
          <w:b w:val="0"/>
          <w:sz w:val="24"/>
        </w:rPr>
        <w:t>问题三：引入年龄、身高后，表7给出11周、12周2天和12周6天的条件三组方案，但图9与主体Brier差值区间表明两个固定扩展规格均无稳定增益。160次重拟合显示方案对样本和追加噪声敏感，表8和表9说明必须同时报告风险、阈值及误差条件，不能把某组切点解释为稳定生物学分界。</w:t>
      </w:r>
    </w:p>
    <w:p>
      <w:pPr>
        <w:spacing w:before="0" w:after="0" w:line="264" w:lineRule="auto"/>
        <w:ind w:firstLine="480"/>
      </w:pPr>
      <w:r>
        <w:rPr>
          <w:rFonts w:ascii="Times New Roman" w:hAnsi="Times New Roman" w:eastAsia="宋体"/>
          <w:b w:val="0"/>
          <w:sz w:val="24"/>
        </w:rPr>
        <w:t>问题四：主体隔离的L2 Logistic流程可以提供各异常标记概率和阈值判定。总体AP为0.3823、Brier为0.08419，T18及总体概率相对常数率有所改善；但T21 AP仅0.0302，总体阈值灵敏度仅0.1791，不支持将当前方法直接用作高敏感临床筛查。图13和表11共同说明概率改善与实际漏判风险需要分别评价。</w:t>
      </w:r>
    </w:p>
    <w:p>
      <w:pPr>
        <w:spacing w:before="0" w:after="0" w:line="264" w:lineRule="auto"/>
        <w:ind w:firstLine="480"/>
      </w:pPr>
      <w:r>
        <w:rPr>
          <w:rFonts w:ascii="Times New Roman" w:hAnsi="Times New Roman" w:eastAsia="宋体"/>
          <w:b w:val="0"/>
          <w:sz w:val="24"/>
        </w:rPr>
        <w:t>总体而言，附件能够支持一个可解释、可求解且经过主体层面验证的条件决策框架，却不能支持无条件的临床最优时点或高准确度诊断承诺。下一阶段若增加预约前基线资料、早期独立采样、复检成本和确诊结局，便可在相同框架中更新概率与代价，而不必推翻已建立的重复测量处理和验证原则。</w:t>
      </w:r>
    </w:p>
    <w:p>
      <w:pPr>
        <w:pageBreakBefore w:val="0"/>
        <w:spacing w:before="0" w:after="0" w:line="300" w:lineRule="auto"/>
        <w:jc w:val="center"/>
      </w:pPr>
      <w:r>
        <w:rPr>
          <w:rFonts w:ascii="Times New Roman" w:hAnsi="Times New Roman" w:eastAsia="宋体"/>
          <w:b/>
          <w:sz w:val="32"/>
        </w:rPr>
        <w:t>参考文献</w:t>
      </w:r>
    </w:p>
    <w:p>
      <w:pPr>
        <w:spacing w:before="0" w:after="0" w:line="264" w:lineRule="auto"/>
        <w:ind w:firstLine="480"/>
      </w:pPr>
      <w:r>
        <w:rPr>
          <w:rFonts w:ascii="Times New Roman" w:hAnsi="Times New Roman" w:eastAsia="宋体"/>
          <w:b w:val="0"/>
          <w:sz w:val="24"/>
        </w:rPr>
        <w:t>[1] Wang E, Batey A, Struble C, et al. Gestational age and maternal weight effects on fetal cell-free DNA in maternal plasma. Prenatal Diagnosis, 2013, 33(7): 662–666. DOI: 10.1002/pd.4119.</w:t>
      </w:r>
    </w:p>
    <w:p>
      <w:pPr>
        <w:spacing w:before="0" w:after="0" w:line="264" w:lineRule="auto"/>
        <w:ind w:firstLine="480"/>
      </w:pPr>
      <w:r>
        <w:rPr>
          <w:rFonts w:ascii="Times New Roman" w:hAnsi="Times New Roman" w:eastAsia="宋体"/>
          <w:b w:val="0"/>
          <w:sz w:val="24"/>
        </w:rPr>
        <w:t>[2] Laird N M, Ware J H. Random-effects models for longitudinal data. Biometrics, 1982, 38(4): 963–974. DOI: 10.2307/2529876.</w:t>
      </w:r>
    </w:p>
    <w:p>
      <w:pPr>
        <w:spacing w:before="0" w:after="0" w:line="264" w:lineRule="auto"/>
        <w:ind w:firstLine="480"/>
      </w:pPr>
      <w:r>
        <w:rPr>
          <w:rFonts w:ascii="Times New Roman" w:hAnsi="Times New Roman" w:eastAsia="宋体"/>
          <w:b w:val="0"/>
          <w:sz w:val="24"/>
        </w:rPr>
        <w:t>[3] Yang J, Ding X, Zhu W. Improving the calling of non-invasive prenatal testing on 13-/18-/21-trisomy by support vector machine discrimination. PLOS ONE, 2018, 13(12): e0207840. DOI: 10.1371/journal.pone.0207840.</w:t>
      </w:r>
    </w:p>
    <w:p>
      <w:pPr>
        <w:spacing w:before="0" w:after="0" w:line="264" w:lineRule="auto"/>
        <w:ind w:firstLine="480"/>
      </w:pPr>
      <w:r>
        <w:rPr>
          <w:rFonts w:ascii="Times New Roman" w:hAnsi="Times New Roman" w:eastAsia="宋体"/>
          <w:b w:val="0"/>
          <w:sz w:val="24"/>
        </w:rPr>
        <w:t>[4] Efron B. Bootstrap Methods: Another Look at the Jackknife. The Annals of Statistics, 1979, 7(1): 1–26. DOI: 10.1214/aos/1176344552.</w:t>
      </w:r>
    </w:p>
    <w:sectPr>
      <w:footerReference w:type="default" r:id="rId6"/>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845AB9"/>
    <w:multiLevelType w:val="singleLevel"/>
    <w:tmpl w:val="E0845AB9"/>
    <w:lvl w:ilvl="0" w:tentative="0">
      <w:start w:val="1"/>
      <w:numFmt w:val="decimal"/>
      <w:suff w:val="nothing"/>
      <w:lvlText w:val="%1、"/>
      <w:lvlJc w:val="left"/>
    </w:lvl>
  </w:abstractNum>
  <w:abstractNum w:abstractNumId="1">
    <w:nsid w:val="76AC8156"/>
    <w:multiLevelType w:val="multilevel"/>
    <w:tmpl w:val="76AC815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81342B"/>
    <w:rsid w:val="10DF57D3"/>
    <w:rsid w:val="1B8A439B"/>
    <w:rsid w:val="1BE1733A"/>
    <w:rsid w:val="3D921D9C"/>
    <w:rsid w:val="3E2C203A"/>
    <w:rsid w:val="40635B47"/>
    <w:rsid w:val="492928A1"/>
    <w:rsid w:val="4E45170E"/>
    <w:rsid w:val="4E7B748C"/>
    <w:rsid w:val="552F0127"/>
    <w:rsid w:val="5D6C3CD8"/>
    <w:rsid w:val="69730A80"/>
    <w:rsid w:val="79321F87"/>
    <w:rsid w:val="7BDA78A7"/>
    <w:rsid w:val="7F34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unhideWhenUsed/>
    <w:qFormat/>
    <w:uiPriority w:val="39"/>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unhideWhenUsed/>
    <w:qFormat/>
    <w:uiPriority w:val="99"/>
    <w:rPr>
      <w:color w:val="0026E5" w:themeColor="hyperlink"/>
      <w:u w:val="single"/>
      <w14:textFill>
        <w14:solidFill>
          <w14:schemeClr w14:val="hlink"/>
        </w14:solidFill>
      </w14:textFill>
    </w:rPr>
  </w:style>
  <w:style w:type="paragraph" w:customStyle="1" w:styleId="7">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230</Words>
  <Characters>266</Characters>
  <Lines>0</Lines>
  <Paragraphs>0</Paragraphs>
  <TotalTime>66</TotalTime>
  <ScaleCrop>false</ScaleCrop>
  <LinksUpToDate>false</LinksUpToDate>
  <CharactersWithSpaces>280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2025-09-05T01:18:00Z</dcterms:created>
  <dc:creator/>
  <cp:lastModifiedBy/>
  <dcterms:modified xsi:type="dcterms:W3CDTF">2026-06-20T14:00:02Z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eyJoZGlkIjoiZmI0YTcwZjE4NjYzZDM3YTFmZDFhNjgzMTU2YzZiYzciLCJ1c2VySWQiOiIxNjQyNzM4NzI0In0=</vt:lpwstr>
  </property>
  <property fmtid="{D5CDD505-2E9C-101B-9397-08002B2CF9AE}" pid="4" name="ICV">
    <vt:lpwstr>0E970F6F4D5D4AA796BB69E6E5B5648E_12</vt:lpwstr>
  </property>
</Properties>
</file>