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Introduction</w:t>
      </w:r>
    </w:p>
    <w:p>
      <w:pPr>
        <w:pStyle w:val="BodyText"/>
        <w:bidi w:val="0"/>
        <w:jc w:val="left"/>
        <w:rPr/>
      </w:pPr>
      <w:r>
        <w:rPr/>
        <w:t xml:space="preserve">Social democracy is often described as a </w:t>
      </w:r>
      <w:r>
        <w:rPr>
          <w:b/>
        </w:rPr>
        <w:t>compromise</w:t>
      </w:r>
      <w:r>
        <w:rPr/>
        <w:t xml:space="preserve"> between capitalism and socialism. This book argues that the </w:t>
      </w:r>
      <w:r>
        <w:rPr>
          <w:i/>
        </w:rPr>
        <w:t>description</w:t>
      </w:r>
      <w:r>
        <w:rPr/>
        <w:t xml:space="preserve"> is wrong. See </w:t>
      </w:r>
      <w:hyperlink r:id="rId2">
        <w:r>
          <w:rPr>
            <w:rStyle w:val="Hyperlink"/>
          </w:rPr>
          <w:t>the source</w:t>
        </w:r>
      </w:hyperlink>
      <w:r>
        <w:rPr/>
        <w:t xml:space="preserve"> for more.</w:t>
      </w:r>
    </w:p>
    <w:p>
      <w:pPr>
        <w:pStyle w:val="BodyText"/>
        <w:bidi w:val="0"/>
        <w:ind w:hanging="0" w:left="0" w:right="0"/>
        <w:jc w:val="left"/>
        <w:rPr/>
      </w:pPr>
      <w:r>
        <w:rPr/>
        <w:t>The argument proceeds in two steps.</w:t>
      </w:r>
      <w:hyperlink w:anchor="fn1">
        <w:bookmarkStart w:id="0" w:name="r1"/>
        <w:bookmarkEnd w:id="0"/>
        <w:r>
          <w:rPr>
            <w:rStyle w:val="Hyperlink"/>
            <w:position w:val="8"/>
            <w:sz w:val="19"/>
          </w:rPr>
          <w:t>1</w:t>
        </w:r>
      </w:hyperlink>
    </w:p>
    <w:p>
      <w:pPr>
        <w:pStyle w:val="Heading2"/>
        <w:bidi w:val="0"/>
        <w:jc w:val="left"/>
        <w:rPr/>
      </w:pPr>
      <w:r>
        <w:rPr/>
        <w:t>The social</w:t>
      </w:r>
    </w:p>
    <w:p>
      <w:pPr>
        <w:pStyle w:val="BodyText"/>
        <w:bidi w:val="0"/>
        <w:jc w:val="left"/>
        <w:rPr/>
      </w:pPr>
      <w:r>
        <w:rPr/>
        <w:t>Workers pooled small sums into sickness funds, burial societies and strike chests.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Sickness funds kept families afloat.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Burial societies paid for funerals.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 numbered point here.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Second numbered point here.</w:t>
      </w:r>
    </w:p>
    <w:tbl>
      <w:tblPr>
        <w:tblW w:w="165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1051"/>
      </w:tblGrid>
      <w:tr>
        <w:trPr/>
        <w:tc>
          <w:tcPr>
            <w:tcW w:w="6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Year</w:t>
            </w:r>
          </w:p>
        </w:tc>
        <w:tc>
          <w:tcPr>
            <w:tcW w:w="105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Members</w:t>
            </w:r>
          </w:p>
        </w:tc>
      </w:tr>
      <w:tr>
        <w:trPr/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1890</w:t>
            </w:r>
          </w:p>
        </w:tc>
        <w:tc>
          <w:tcPr>
            <w:tcW w:w="10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12,000</w:t>
            </w:r>
          </w:p>
        </w:tc>
      </w:tr>
    </w:tbl>
    <w:p>
      <w:pPr>
        <w:pStyle w:val="Heading2"/>
        <w:bidi w:val="0"/>
        <w:jc w:val="left"/>
        <w:rPr/>
      </w:pPr>
      <w:r>
        <w:rPr/>
        <w:t>Democracy</w:t>
      </w:r>
    </w:p>
    <w:p>
      <w:pPr>
        <w:pStyle w:val="BodyText"/>
        <w:bidi w:val="0"/>
        <w:spacing w:before="0" w:after="283"/>
        <w:jc w:val="left"/>
        <w:rPr/>
      </w:pPr>
      <w:r>
        <w:rPr/>
        <w:t>Democracy meant more than elections for the early social democrats.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sourc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