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B1" w:rsidRDefault="003226B1" w:rsidP="00E07265">
      <w:pPr>
        <w:pStyle w:val="Heading2"/>
        <w:numPr>
          <w:ilvl w:val="0"/>
          <w:numId w:val="0"/>
        </w:numPr>
        <w:jc w:val="center"/>
      </w:pPr>
      <w:bookmarkStart w:id="0" w:name="_GoBack"/>
      <w:bookmarkEnd w:id="0"/>
      <w:r>
        <w:t>PRECAUTIONS WHEN FLOODING DRY DOCK</w:t>
      </w:r>
    </w:p>
    <w:p w:rsidR="00E07265" w:rsidRDefault="00E07265" w:rsidP="00FE70FD">
      <w:pPr>
        <w:pStyle w:val="Heading3"/>
        <w:numPr>
          <w:ilvl w:val="0"/>
          <w:numId w:val="0"/>
        </w:numPr>
        <w:ind w:left="720" w:hanging="720"/>
      </w:pPr>
    </w:p>
    <w:p w:rsidR="003226B1" w:rsidRDefault="0018154D" w:rsidP="00FE70FD">
      <w:pPr>
        <w:pStyle w:val="Heading3"/>
        <w:numPr>
          <w:ilvl w:val="0"/>
          <w:numId w:val="0"/>
        </w:numPr>
        <w:ind w:left="720" w:hanging="720"/>
      </w:pPr>
      <w:r>
        <w:t>BEFORE FLOODI</w:t>
      </w:r>
      <w:r w:rsidR="003226B1">
        <w:t>NG</w:t>
      </w:r>
    </w:p>
    <w:p w:rsidR="0018154D" w:rsidRPr="0018154D" w:rsidRDefault="0018154D" w:rsidP="0018154D">
      <w:r>
        <w:t>Before flooding commences, the following are to be positively checked: -</w:t>
      </w:r>
    </w:p>
    <w:p w:rsidR="003226B1" w:rsidRDefault="003226B1" w:rsidP="003226B1">
      <w:pPr>
        <w:pStyle w:val="Bullet1"/>
      </w:pPr>
      <w:r>
        <w:t>Prior to water being admitted to the dry dock a full set of tank soundings are to be taken – maintain a record.</w:t>
      </w:r>
    </w:p>
    <w:p w:rsidR="003226B1" w:rsidRDefault="003226B1" w:rsidP="003226B1">
      <w:pPr>
        <w:pStyle w:val="Bullet1"/>
      </w:pPr>
      <w:r>
        <w:t>The ship’s stability condition is assessed and recorded.</w:t>
      </w:r>
    </w:p>
    <w:p w:rsidR="003226B1" w:rsidRDefault="003226B1" w:rsidP="003226B1">
      <w:pPr>
        <w:pStyle w:val="Bullet1"/>
      </w:pPr>
      <w:r>
        <w:t>The machinery sea</w:t>
      </w:r>
      <w:r w:rsidR="0018154D">
        <w:t>-</w:t>
      </w:r>
      <w:r>
        <w:t xml:space="preserve">boxes and underwater area of the ship is inspected and a Drydock Flooding </w:t>
      </w:r>
      <w:r w:rsidR="00240478">
        <w:t>up</w:t>
      </w:r>
      <w:r>
        <w:t xml:space="preserve"> Checklist is completed.  A copy of this checklist is contained at the end of this appendix. In particular ensure that all docking plugs and tank manholes shall be sighted securely in position.</w:t>
      </w:r>
    </w:p>
    <w:p w:rsidR="003226B1" w:rsidRDefault="003226B1" w:rsidP="003226B1">
      <w:r>
        <w:rPr>
          <w:b/>
          <w:lang w:val="en-US"/>
        </w:rPr>
        <w:t>NB</w:t>
      </w:r>
      <w:r>
        <w:tab/>
        <w:t>In exceptional circumstances it may be necessary to re</w:t>
      </w:r>
      <w:r w:rsidR="0018154D">
        <w:t>-</w:t>
      </w:r>
      <w:r>
        <w:t>float prior to replacement of all tank lids. If this situation arises it is only acceptable to permit a tank lid to be unsecured subject to a satisfactory risk assessment being completed.  Any tank lid unsecured whilst the vessel is afloat in the dock or adjacent lay</w:t>
      </w:r>
      <w:r w:rsidR="0018154D">
        <w:t>-by berth must be recorded</w:t>
      </w:r>
      <w:r>
        <w:t xml:space="preserve"> and positively confirmed secure before departure from the dock or lay-by berth. </w:t>
      </w:r>
    </w:p>
    <w:p w:rsidR="00E07265" w:rsidRDefault="00E07265" w:rsidP="00FE70FD">
      <w:pPr>
        <w:pStyle w:val="Heading3"/>
        <w:numPr>
          <w:ilvl w:val="0"/>
          <w:numId w:val="0"/>
        </w:numPr>
        <w:ind w:left="720" w:hanging="720"/>
      </w:pPr>
    </w:p>
    <w:p w:rsidR="003226B1" w:rsidRDefault="003226B1" w:rsidP="00FE70FD">
      <w:pPr>
        <w:pStyle w:val="Heading3"/>
        <w:numPr>
          <w:ilvl w:val="0"/>
          <w:numId w:val="0"/>
        </w:numPr>
        <w:ind w:left="720" w:hanging="720"/>
      </w:pPr>
      <w:r>
        <w:t>DURING FLOODING</w:t>
      </w:r>
    </w:p>
    <w:p w:rsidR="003226B1" w:rsidRDefault="003226B1" w:rsidP="003226B1">
      <w:r>
        <w:t>When low sea suction inlets and stern tube bossings are submerged, stop flooding and check that;</w:t>
      </w:r>
    </w:p>
    <w:p w:rsidR="003226B1" w:rsidRDefault="003226B1" w:rsidP="003226B1">
      <w:pPr>
        <w:pStyle w:val="Bullet1"/>
      </w:pPr>
      <w:r>
        <w:t>There are no leaks inboard;</w:t>
      </w:r>
    </w:p>
    <w:p w:rsidR="003226B1" w:rsidRDefault="003226B1" w:rsidP="003226B1">
      <w:pPr>
        <w:pStyle w:val="Bullet1"/>
      </w:pPr>
      <w:r>
        <w:t>Ship side valves can be operated and can be closed tight; ensure sea filters can be isolated.</w:t>
      </w:r>
    </w:p>
    <w:p w:rsidR="003226B1" w:rsidRDefault="003226B1" w:rsidP="003226B1">
      <w:pPr>
        <w:pStyle w:val="Bullet1"/>
      </w:pPr>
      <w:r>
        <w:t>Check sea water pipe work for any leakage.</w:t>
      </w:r>
    </w:p>
    <w:p w:rsidR="003226B1" w:rsidRDefault="003226B1" w:rsidP="003226B1">
      <w:r>
        <w:t>When satisfactory, resume dock flooding until high suctions are covered, when the above procedure shall be repeated.</w:t>
      </w:r>
    </w:p>
    <w:p w:rsidR="003226B1" w:rsidRDefault="003226B1" w:rsidP="003226B1">
      <w:r>
        <w:t>When satisfactory resume flooding and float the ship.  Maintain watch on all sea connections and sea water pipe work.  Where leaks are found they shall be imm</w:t>
      </w:r>
      <w:r w:rsidR="0018154D">
        <w:t xml:space="preserve">ediately reported to the </w:t>
      </w:r>
      <w:r w:rsidR="00AC3705">
        <w:t>Chief Engineer/pipe foreman</w:t>
      </w:r>
    </w:p>
    <w:p w:rsidR="003226B1" w:rsidRDefault="003226B1" w:rsidP="003226B1">
      <w: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2126"/>
        <w:gridCol w:w="992"/>
        <w:gridCol w:w="709"/>
        <w:gridCol w:w="992"/>
      </w:tblGrid>
      <w:tr w:rsidR="00FE70FD" w:rsidTr="003171EF">
        <w:tc>
          <w:tcPr>
            <w:tcW w:w="9639" w:type="dxa"/>
            <w:gridSpan w:val="5"/>
          </w:tcPr>
          <w:p w:rsidR="00FE70FD" w:rsidRDefault="00FE70FD" w:rsidP="00FE70FD">
            <w:pPr>
              <w:pStyle w:val="ColumnHeading"/>
              <w:jc w:val="center"/>
            </w:pPr>
            <w:r>
              <w:lastRenderedPageBreak/>
              <w:t>Drydock Flooding Up Checklist</w:t>
            </w: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ColumnHeading"/>
            </w:pPr>
            <w:r>
              <w:t>Item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ColumnHeading"/>
            </w:pPr>
            <w:r>
              <w:t>Comment</w:t>
            </w:r>
          </w:p>
        </w:tc>
        <w:tc>
          <w:tcPr>
            <w:tcW w:w="992" w:type="dxa"/>
          </w:tcPr>
          <w:p w:rsidR="003226B1" w:rsidRDefault="003226B1" w:rsidP="00B1203D">
            <w:pPr>
              <w:pStyle w:val="ColumnHeading"/>
            </w:pPr>
            <w:r>
              <w:t>Date</w:t>
            </w:r>
          </w:p>
        </w:tc>
        <w:tc>
          <w:tcPr>
            <w:tcW w:w="709" w:type="dxa"/>
          </w:tcPr>
          <w:p w:rsidR="003226B1" w:rsidRDefault="003226B1" w:rsidP="00B1203D">
            <w:pPr>
              <w:pStyle w:val="ColumnHeading"/>
            </w:pPr>
            <w:r>
              <w:t>Time</w:t>
            </w:r>
          </w:p>
        </w:tc>
        <w:tc>
          <w:tcPr>
            <w:tcW w:w="992" w:type="dxa"/>
          </w:tcPr>
          <w:p w:rsidR="003226B1" w:rsidRDefault="003226B1" w:rsidP="00B1203D">
            <w:pPr>
              <w:pStyle w:val="ColumnHeading"/>
            </w:pPr>
            <w:r>
              <w:t>Initial</w:t>
            </w: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Rudder test – no leaks, lift restriction bar &amp; rope guards in place, smooth movement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BF6C9E" w:rsidP="00B1203D">
            <w:pPr>
              <w:pStyle w:val="TableCell"/>
            </w:pPr>
            <w:r>
              <w:t>Propeller and stern tube</w:t>
            </w:r>
            <w:r w:rsidR="003226B1">
              <w:t xml:space="preserve"> – no leaks, locking devices and rope guards in place, no noise from hub, smooth movement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Stabilisers – in and secure, no leaks, smooth movement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All Docking Plugs in place (complete checklist page 2 to be attached to this document)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Sea inlet gratings in place and tight, and locking arrangements secure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Log transducer clear of paint and coverings and confirmed as correctly replaced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Echo sounder transducers clear of paint and coverings, and confirmed as correctly replaced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Anchors stowed and secured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All hull painting complete – to include draft marks and hull markings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All scupper and discharge pipe bleeder plugs removed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All drydock stagings clear, and dock clear of objects/waste which will float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Propeller protection coverings removed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 xml:space="preserve">All Tank Manholes secured (complete checklist page 2 to be attached to this document) 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All sea connection suction and discharge valves in place and closed, and pipework secure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Moorings out and sufficient, and ready to be tended, with power available to sufficient winches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Draft Indicator valves in place and secure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  <w:r>
              <w:t>All scupper valves in place and secure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  <w:r>
              <w:t>Winel valves in place and secure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  <w:pBdr>
                <w:right w:val="double" w:sz="4" w:space="4" w:color="800000"/>
              </w:pBdr>
            </w:pPr>
            <w:r>
              <w:t>Take a full set of soundings of all Fuel oil, LO, FW and Ballast Tanks and cofferdams.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  <w:tcBorders>
              <w:top w:val="single" w:sz="4" w:space="0" w:color="auto"/>
            </w:tcBorders>
          </w:tcPr>
          <w:p w:rsidR="003226B1" w:rsidRDefault="003226B1" w:rsidP="00B1203D">
            <w:pPr>
              <w:pStyle w:val="TableCell"/>
            </w:pPr>
            <w:r>
              <w:t>Heeling tanks at docking levels and pumps available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Ballast is correct for re-floating and confirmed as unchanged from docking condition with full set of soundings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Stability – account for the shift, addition or removal of any weights that might effect the trim or produce a list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Ensure the gangway is secure, and the ship is positioned to allow for some movement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Post Flooding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Check all sea connection and scupper valves for leaks and watertight integrity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Check all underwater spaces for watertight integrity, confirm full set of soundings unchanged from pre-flooding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c>
          <w:tcPr>
            <w:tcW w:w="4820" w:type="dxa"/>
          </w:tcPr>
          <w:p w:rsidR="003226B1" w:rsidRDefault="003226B1" w:rsidP="00B1203D">
            <w:pPr>
              <w:pStyle w:val="TableCell"/>
            </w:pPr>
            <w:r>
              <w:t>Ensure moorings are sufficient, tight and the winch brakes are well secure</w:t>
            </w:r>
          </w:p>
        </w:tc>
        <w:tc>
          <w:tcPr>
            <w:tcW w:w="2126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09" w:type="dxa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92" w:type="dxa"/>
          </w:tcPr>
          <w:p w:rsidR="003226B1" w:rsidRDefault="003226B1" w:rsidP="00B1203D">
            <w:pPr>
              <w:pStyle w:val="TableCell"/>
            </w:pPr>
          </w:p>
        </w:tc>
      </w:tr>
    </w:tbl>
    <w:p w:rsidR="003226B1" w:rsidRDefault="003226B1" w:rsidP="003226B1"/>
    <w:p w:rsidR="003226B1" w:rsidRDefault="003226B1" w:rsidP="003226B1">
      <w:pPr>
        <w:pStyle w:val="NB"/>
      </w:pPr>
      <w:r>
        <w:br w:type="page"/>
      </w:r>
      <w:r>
        <w:lastRenderedPageBreak/>
        <w:t>DOCKING PLUG AN</w:t>
      </w:r>
      <w:r w:rsidR="00C11A4E">
        <w:t>D TANK MANHOLE CHECKLIST</w:t>
      </w:r>
    </w:p>
    <w:tbl>
      <w:tblPr>
        <w:tblW w:w="9582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6"/>
        <w:gridCol w:w="721"/>
        <w:gridCol w:w="721"/>
        <w:gridCol w:w="979"/>
        <w:gridCol w:w="721"/>
        <w:gridCol w:w="236"/>
        <w:gridCol w:w="862"/>
        <w:gridCol w:w="721"/>
        <w:gridCol w:w="635"/>
      </w:tblGrid>
      <w:tr w:rsidR="003226B1" w:rsidTr="00B1203D">
        <w:trPr>
          <w:cantSplit/>
          <w:trHeight w:val="302"/>
        </w:trPr>
        <w:tc>
          <w:tcPr>
            <w:tcW w:w="3986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DOCKING PLUGS – list each docking plug removed</w:t>
            </w:r>
          </w:p>
        </w:tc>
        <w:tc>
          <w:tcPr>
            <w:tcW w:w="721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Frame</w:t>
            </w:r>
          </w:p>
        </w:tc>
        <w:tc>
          <w:tcPr>
            <w:tcW w:w="721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P/C/S</w:t>
            </w:r>
          </w:p>
        </w:tc>
        <w:tc>
          <w:tcPr>
            <w:tcW w:w="979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Date</w:t>
            </w:r>
          </w:p>
          <w:p w:rsidR="003226B1" w:rsidRDefault="003226B1" w:rsidP="00B1203D">
            <w:pPr>
              <w:pStyle w:val="ColumnHeading"/>
            </w:pPr>
            <w:r>
              <w:t>Removed</w:t>
            </w:r>
          </w:p>
        </w:tc>
        <w:tc>
          <w:tcPr>
            <w:tcW w:w="721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Initial</w:t>
            </w:r>
          </w:p>
        </w:tc>
        <w:tc>
          <w:tcPr>
            <w:tcW w:w="236" w:type="dxa"/>
            <w:vMerge w:val="restart"/>
            <w:shd w:val="pct5" w:color="auto" w:fill="FFFFFF"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1583" w:type="dxa"/>
            <w:gridSpan w:val="2"/>
          </w:tcPr>
          <w:p w:rsidR="003226B1" w:rsidRDefault="003226B1" w:rsidP="00B1203D">
            <w:pPr>
              <w:pStyle w:val="ColumnHeading"/>
            </w:pPr>
            <w:r>
              <w:t>Sighted Secured</w:t>
            </w:r>
          </w:p>
        </w:tc>
        <w:tc>
          <w:tcPr>
            <w:tcW w:w="635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Initial</w:t>
            </w: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  <w:vMerge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721" w:type="dxa"/>
            <w:vMerge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721" w:type="dxa"/>
            <w:vMerge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979" w:type="dxa"/>
            <w:vMerge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721" w:type="dxa"/>
            <w:vMerge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236" w:type="dxa"/>
            <w:vMerge/>
            <w:shd w:val="pct5" w:color="auto" w:fill="FFFFFF"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ColumnHeading"/>
            </w:pPr>
            <w:r>
              <w:t>Date/ Time</w:t>
            </w:r>
          </w:p>
        </w:tc>
        <w:tc>
          <w:tcPr>
            <w:tcW w:w="721" w:type="dxa"/>
          </w:tcPr>
          <w:p w:rsidR="003226B1" w:rsidRDefault="003226B1" w:rsidP="00B1203D">
            <w:pPr>
              <w:pStyle w:val="ColumnHeading"/>
            </w:pPr>
            <w:r>
              <w:t>Time</w:t>
            </w:r>
          </w:p>
        </w:tc>
        <w:tc>
          <w:tcPr>
            <w:tcW w:w="635" w:type="dxa"/>
            <w:vMerge/>
          </w:tcPr>
          <w:p w:rsidR="003226B1" w:rsidRDefault="003226B1" w:rsidP="00B1203D">
            <w:pPr>
              <w:pStyle w:val="TableCell"/>
            </w:pPr>
          </w:p>
        </w:tc>
      </w:tr>
      <w:tr w:rsidR="003226B1" w:rsidTr="004860BE">
        <w:trPr>
          <w:cantSplit/>
          <w:trHeight w:val="283"/>
        </w:trPr>
        <w:tc>
          <w:tcPr>
            <w:tcW w:w="3986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302"/>
        </w:trPr>
        <w:tc>
          <w:tcPr>
            <w:tcW w:w="3986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TANK MANHOLES – list each tank lid removed</w:t>
            </w:r>
          </w:p>
        </w:tc>
        <w:tc>
          <w:tcPr>
            <w:tcW w:w="721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Frame</w:t>
            </w:r>
          </w:p>
        </w:tc>
        <w:tc>
          <w:tcPr>
            <w:tcW w:w="721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P/C/S</w:t>
            </w:r>
          </w:p>
        </w:tc>
        <w:tc>
          <w:tcPr>
            <w:tcW w:w="979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Date Removed</w:t>
            </w:r>
          </w:p>
        </w:tc>
        <w:tc>
          <w:tcPr>
            <w:tcW w:w="721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Initial</w:t>
            </w:r>
          </w:p>
        </w:tc>
        <w:tc>
          <w:tcPr>
            <w:tcW w:w="236" w:type="dxa"/>
            <w:vMerge w:val="restart"/>
            <w:shd w:val="pct5" w:color="auto" w:fill="FFFFFF"/>
          </w:tcPr>
          <w:p w:rsidR="003226B1" w:rsidRDefault="003226B1" w:rsidP="00B1203D">
            <w:pPr>
              <w:pStyle w:val="ColumnHeading"/>
            </w:pPr>
          </w:p>
        </w:tc>
        <w:tc>
          <w:tcPr>
            <w:tcW w:w="1583" w:type="dxa"/>
            <w:gridSpan w:val="2"/>
          </w:tcPr>
          <w:p w:rsidR="003226B1" w:rsidRDefault="003226B1" w:rsidP="00B1203D">
            <w:pPr>
              <w:pStyle w:val="ColumnHeading"/>
            </w:pPr>
            <w:r>
              <w:t>Sighted Secured</w:t>
            </w:r>
          </w:p>
        </w:tc>
        <w:tc>
          <w:tcPr>
            <w:tcW w:w="635" w:type="dxa"/>
            <w:vMerge w:val="restart"/>
          </w:tcPr>
          <w:p w:rsidR="003226B1" w:rsidRDefault="003226B1" w:rsidP="00B1203D">
            <w:pPr>
              <w:pStyle w:val="ColumnHeading"/>
            </w:pPr>
            <w:r>
              <w:t>Initial</w:t>
            </w: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  <w:vMerge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21" w:type="dxa"/>
            <w:vMerge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21" w:type="dxa"/>
            <w:vMerge/>
          </w:tcPr>
          <w:p w:rsidR="003226B1" w:rsidRDefault="003226B1" w:rsidP="00B1203D">
            <w:pPr>
              <w:pStyle w:val="TableCell"/>
            </w:pPr>
          </w:p>
        </w:tc>
        <w:tc>
          <w:tcPr>
            <w:tcW w:w="979" w:type="dxa"/>
            <w:vMerge/>
          </w:tcPr>
          <w:p w:rsidR="003226B1" w:rsidRDefault="003226B1" w:rsidP="00B1203D">
            <w:pPr>
              <w:pStyle w:val="TableCell"/>
            </w:pPr>
          </w:p>
        </w:tc>
        <w:tc>
          <w:tcPr>
            <w:tcW w:w="721" w:type="dxa"/>
            <w:vMerge/>
          </w:tcPr>
          <w:p w:rsidR="003226B1" w:rsidRDefault="003226B1" w:rsidP="00B1203D">
            <w:pPr>
              <w:pStyle w:val="TableCell"/>
            </w:pPr>
          </w:p>
        </w:tc>
        <w:tc>
          <w:tcPr>
            <w:tcW w:w="236" w:type="dxa"/>
            <w:vMerge/>
            <w:shd w:val="pct5" w:color="auto" w:fill="FFFFFF"/>
          </w:tcPr>
          <w:p w:rsidR="003226B1" w:rsidRDefault="003226B1" w:rsidP="00B1203D">
            <w:pPr>
              <w:pStyle w:val="TableCell"/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ColumnHeading"/>
            </w:pPr>
            <w:r>
              <w:t>Date/ Time</w:t>
            </w:r>
          </w:p>
        </w:tc>
        <w:tc>
          <w:tcPr>
            <w:tcW w:w="721" w:type="dxa"/>
          </w:tcPr>
          <w:p w:rsidR="003226B1" w:rsidRDefault="003226B1" w:rsidP="00B1203D">
            <w:pPr>
              <w:pStyle w:val="ColumnHeading"/>
            </w:pPr>
            <w:r>
              <w:t>Time</w:t>
            </w:r>
          </w:p>
        </w:tc>
        <w:tc>
          <w:tcPr>
            <w:tcW w:w="635" w:type="dxa"/>
            <w:vMerge/>
          </w:tcPr>
          <w:p w:rsidR="003226B1" w:rsidRDefault="003226B1" w:rsidP="00B1203D">
            <w:pPr>
              <w:pStyle w:val="TableCell"/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4860BE" w:rsidTr="00B1203D">
        <w:trPr>
          <w:cantSplit/>
          <w:trHeight w:val="279"/>
        </w:trPr>
        <w:tc>
          <w:tcPr>
            <w:tcW w:w="3986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</w:tr>
      <w:tr w:rsidR="004860BE" w:rsidTr="00B1203D">
        <w:trPr>
          <w:cantSplit/>
          <w:trHeight w:val="279"/>
        </w:trPr>
        <w:tc>
          <w:tcPr>
            <w:tcW w:w="3986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4860BE" w:rsidRDefault="004860BE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  <w:r>
              <w:t>OTHER OPENINGS</w:t>
            </w:r>
          </w:p>
        </w:tc>
        <w:tc>
          <w:tcPr>
            <w:tcW w:w="721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ColumnHeading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  <w:tr w:rsidR="003226B1" w:rsidTr="00B1203D">
        <w:trPr>
          <w:cantSplit/>
          <w:trHeight w:val="279"/>
        </w:trPr>
        <w:tc>
          <w:tcPr>
            <w:tcW w:w="3986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979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236" w:type="dxa"/>
            <w:shd w:val="pct5" w:color="auto" w:fill="FFFFFF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862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721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  <w:tc>
          <w:tcPr>
            <w:tcW w:w="635" w:type="dxa"/>
          </w:tcPr>
          <w:p w:rsidR="003226B1" w:rsidRDefault="003226B1" w:rsidP="00B1203D">
            <w:pPr>
              <w:pStyle w:val="TableCell"/>
              <w:rPr>
                <w:sz w:val="14"/>
              </w:rPr>
            </w:pPr>
          </w:p>
        </w:tc>
      </w:tr>
    </w:tbl>
    <w:p w:rsidR="001D6195" w:rsidRDefault="001D6195"/>
    <w:sectPr w:rsidR="001D6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276" w:left="1418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AE5" w:rsidRDefault="00C86AE5" w:rsidP="003226B1">
      <w:pPr>
        <w:spacing w:after="0"/>
      </w:pPr>
      <w:r>
        <w:separator/>
      </w:r>
    </w:p>
  </w:endnote>
  <w:endnote w:type="continuationSeparator" w:id="0">
    <w:p w:rsidR="00C86AE5" w:rsidRDefault="00C86AE5" w:rsidP="00322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37" w:rsidRDefault="006218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87"/>
      <w:gridCol w:w="2587"/>
      <w:gridCol w:w="2587"/>
      <w:gridCol w:w="1453"/>
    </w:tblGrid>
    <w:tr w:rsidR="00FE70FD" w:rsidRPr="00E07265" w:rsidTr="00E07265">
      <w:tc>
        <w:tcPr>
          <w:tcW w:w="2587" w:type="dxa"/>
        </w:tcPr>
        <w:p w:rsidR="00FE70FD" w:rsidRPr="00E07265" w:rsidRDefault="00FE70FD" w:rsidP="00E07265">
          <w:pPr>
            <w:pStyle w:val="Footer"/>
            <w:spacing w:before="60" w:after="60"/>
            <w:jc w:val="center"/>
            <w:rPr>
              <w:rFonts w:cs="Arial"/>
              <w:sz w:val="18"/>
            </w:rPr>
          </w:pPr>
          <w:r w:rsidRPr="00E07265">
            <w:rPr>
              <w:rFonts w:cs="Arial"/>
              <w:spacing w:val="-2"/>
              <w:sz w:val="18"/>
            </w:rPr>
            <w:t>Form OP 84 (Pax)</w:t>
          </w:r>
        </w:p>
      </w:tc>
      <w:tc>
        <w:tcPr>
          <w:tcW w:w="2587" w:type="dxa"/>
        </w:tcPr>
        <w:p w:rsidR="00FE70FD" w:rsidRPr="00E07265" w:rsidRDefault="00FE70FD" w:rsidP="00E07265">
          <w:pPr>
            <w:pStyle w:val="Footer"/>
            <w:spacing w:before="60" w:after="60"/>
            <w:jc w:val="center"/>
            <w:rPr>
              <w:rFonts w:cs="Arial"/>
              <w:sz w:val="18"/>
            </w:rPr>
          </w:pPr>
          <w:r w:rsidRPr="00E07265">
            <w:rPr>
              <w:rFonts w:cs="Arial"/>
              <w:spacing w:val="-2"/>
              <w:sz w:val="18"/>
            </w:rPr>
            <w:t>Version: 1   Issued: 07/14</w:t>
          </w:r>
        </w:p>
      </w:tc>
      <w:tc>
        <w:tcPr>
          <w:tcW w:w="2587" w:type="dxa"/>
        </w:tcPr>
        <w:p w:rsidR="00FE70FD" w:rsidRPr="00E07265" w:rsidRDefault="00FE70FD" w:rsidP="00E07265">
          <w:pPr>
            <w:pStyle w:val="Footer"/>
            <w:spacing w:before="60" w:after="60"/>
            <w:jc w:val="center"/>
            <w:rPr>
              <w:rFonts w:cs="Arial"/>
              <w:sz w:val="18"/>
            </w:rPr>
          </w:pPr>
          <w:r w:rsidRPr="00E07265">
            <w:rPr>
              <w:rFonts w:cs="Arial"/>
              <w:spacing w:val="-2"/>
              <w:sz w:val="18"/>
            </w:rPr>
            <w:t>Revision: 0   Issued: Date</w:t>
          </w:r>
        </w:p>
      </w:tc>
      <w:tc>
        <w:tcPr>
          <w:tcW w:w="1453" w:type="dxa"/>
        </w:tcPr>
        <w:p w:rsidR="00FE70FD" w:rsidRPr="00E07265" w:rsidRDefault="00FE70FD" w:rsidP="00E07265">
          <w:pPr>
            <w:pStyle w:val="Footer"/>
            <w:spacing w:before="60" w:after="60"/>
            <w:jc w:val="center"/>
            <w:rPr>
              <w:rFonts w:cs="Arial"/>
              <w:sz w:val="18"/>
            </w:rPr>
          </w:pPr>
          <w:r w:rsidRPr="00E07265">
            <w:rPr>
              <w:rFonts w:cs="Arial"/>
              <w:spacing w:val="-2"/>
              <w:sz w:val="18"/>
            </w:rPr>
            <w:t xml:space="preserve">Page </w:t>
          </w:r>
          <w:r w:rsidRPr="00E07265">
            <w:rPr>
              <w:rFonts w:cs="Arial"/>
              <w:spacing w:val="-2"/>
              <w:sz w:val="18"/>
            </w:rPr>
            <w:fldChar w:fldCharType="begin"/>
          </w:r>
          <w:r w:rsidRPr="00E07265">
            <w:rPr>
              <w:rFonts w:cs="Arial"/>
              <w:spacing w:val="-2"/>
              <w:sz w:val="18"/>
            </w:rPr>
            <w:instrText xml:space="preserve"> PAGE  \* MERGEFORMAT </w:instrText>
          </w:r>
          <w:r w:rsidRPr="00E07265">
            <w:rPr>
              <w:rFonts w:cs="Arial"/>
              <w:spacing w:val="-2"/>
              <w:sz w:val="18"/>
            </w:rPr>
            <w:fldChar w:fldCharType="separate"/>
          </w:r>
          <w:r w:rsidR="00621837">
            <w:rPr>
              <w:rFonts w:cs="Arial"/>
              <w:noProof/>
              <w:spacing w:val="-2"/>
              <w:sz w:val="18"/>
            </w:rPr>
            <w:t>2</w:t>
          </w:r>
          <w:r w:rsidRPr="00E07265">
            <w:rPr>
              <w:rFonts w:cs="Arial"/>
              <w:spacing w:val="-2"/>
              <w:sz w:val="18"/>
            </w:rPr>
            <w:fldChar w:fldCharType="end"/>
          </w:r>
          <w:r w:rsidRPr="00E07265">
            <w:rPr>
              <w:rFonts w:cs="Arial"/>
              <w:spacing w:val="-2"/>
              <w:sz w:val="18"/>
            </w:rPr>
            <w:t xml:space="preserve"> of </w:t>
          </w:r>
          <w:r w:rsidRPr="00E07265">
            <w:rPr>
              <w:rFonts w:cs="Arial"/>
              <w:spacing w:val="-2"/>
              <w:sz w:val="18"/>
            </w:rPr>
            <w:fldChar w:fldCharType="begin"/>
          </w:r>
          <w:r w:rsidRPr="00E07265">
            <w:rPr>
              <w:rFonts w:cs="Arial"/>
              <w:spacing w:val="-2"/>
              <w:sz w:val="18"/>
            </w:rPr>
            <w:instrText xml:space="preserve"> SECTIONPAGES  \* MERGEFORMAT </w:instrText>
          </w:r>
          <w:r w:rsidRPr="00E07265">
            <w:rPr>
              <w:rFonts w:cs="Arial"/>
              <w:spacing w:val="-2"/>
              <w:sz w:val="18"/>
            </w:rPr>
            <w:fldChar w:fldCharType="separate"/>
          </w:r>
          <w:r w:rsidR="00621837">
            <w:rPr>
              <w:rFonts w:cs="Arial"/>
              <w:noProof/>
              <w:spacing w:val="-2"/>
              <w:sz w:val="18"/>
            </w:rPr>
            <w:t>3</w:t>
          </w:r>
          <w:r w:rsidRPr="00E07265">
            <w:rPr>
              <w:rFonts w:cs="Arial"/>
              <w:spacing w:val="-2"/>
              <w:sz w:val="18"/>
            </w:rPr>
            <w:fldChar w:fldCharType="end"/>
          </w:r>
        </w:p>
      </w:tc>
    </w:tr>
  </w:tbl>
  <w:p w:rsidR="00B1203D" w:rsidRPr="00FE70FD" w:rsidRDefault="00B1203D" w:rsidP="00FE70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37" w:rsidRDefault="006218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AE5" w:rsidRDefault="00C86AE5" w:rsidP="003226B1">
      <w:pPr>
        <w:spacing w:after="0"/>
      </w:pPr>
      <w:r>
        <w:separator/>
      </w:r>
    </w:p>
  </w:footnote>
  <w:footnote w:type="continuationSeparator" w:id="0">
    <w:p w:rsidR="00C86AE5" w:rsidRDefault="00C86AE5" w:rsidP="003226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37" w:rsidRDefault="006218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3D" w:rsidRPr="00E07265" w:rsidRDefault="00FE70FD" w:rsidP="00FE70FD">
    <w:pPr>
      <w:pStyle w:val="Header"/>
      <w:jc w:val="center"/>
      <w:rPr>
        <w:b/>
        <w:sz w:val="28"/>
        <w:szCs w:val="28"/>
        <w:u w:val="single"/>
      </w:rPr>
    </w:pPr>
    <w:r w:rsidRPr="00E07265">
      <w:rPr>
        <w:b/>
        <w:sz w:val="28"/>
        <w:szCs w:val="28"/>
        <w:u w:val="single"/>
      </w:rPr>
      <w:t>Dry Docking Departure Checklist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37" w:rsidRDefault="006218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3776"/>
    <w:multiLevelType w:val="multilevel"/>
    <w:tmpl w:val="615EB026"/>
    <w:lvl w:ilvl="0">
      <w:start w:val="1"/>
      <w:numFmt w:val="none"/>
      <w:lvlRestart w:val="0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Heading6"/>
      <w:lvlText w:val="%1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382F19EF"/>
    <w:multiLevelType w:val="hybridMultilevel"/>
    <w:tmpl w:val="D1C8853E"/>
    <w:lvl w:ilvl="0" w:tplc="2C6EEBEA">
      <w:start w:val="1"/>
      <w:numFmt w:val="bullet"/>
      <w:pStyle w:val="Bullet1"/>
      <w:lvlText w:val="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00"/>
    <w:rsid w:val="00001E51"/>
    <w:rsid w:val="0018154D"/>
    <w:rsid w:val="001D6195"/>
    <w:rsid w:val="00240478"/>
    <w:rsid w:val="003226B1"/>
    <w:rsid w:val="003E48C3"/>
    <w:rsid w:val="00421400"/>
    <w:rsid w:val="004860BE"/>
    <w:rsid w:val="00621837"/>
    <w:rsid w:val="00AC3705"/>
    <w:rsid w:val="00B1203D"/>
    <w:rsid w:val="00B3073F"/>
    <w:rsid w:val="00BF6C9E"/>
    <w:rsid w:val="00C11A4E"/>
    <w:rsid w:val="00C86AE5"/>
    <w:rsid w:val="00CF7C21"/>
    <w:rsid w:val="00E07265"/>
    <w:rsid w:val="00E5463E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B1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26B1"/>
    <w:pPr>
      <w:keepNext/>
      <w:numPr>
        <w:numId w:val="1"/>
      </w:num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26B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3226B1"/>
    <w:pPr>
      <w:keepNext/>
      <w:numPr>
        <w:ilvl w:val="2"/>
        <w:numId w:val="1"/>
      </w:numPr>
      <w:tabs>
        <w:tab w:val="left" w:pos="851"/>
      </w:tabs>
      <w:spacing w:before="240" w:after="6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3226B1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3226B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226B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226B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226B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226B1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6B1"/>
    <w:rPr>
      <w:rFonts w:ascii="Arial" w:eastAsia="Times New Roman" w:hAnsi="Arial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26B1"/>
    <w:rPr>
      <w:rFonts w:ascii="Arial" w:eastAsia="Times New Roman" w:hAnsi="Arial" w:cs="Arial"/>
      <w:b/>
      <w:bC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3226B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226B1"/>
    <w:rPr>
      <w:rFonts w:ascii="Arial" w:eastAsia="Times New Roman" w:hAnsi="Arial" w:cs="Arial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3226B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226B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226B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226B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226B1"/>
    <w:rPr>
      <w:rFonts w:ascii="Arial" w:eastAsia="Times New Roman" w:hAnsi="Arial" w:cs="Arial"/>
    </w:rPr>
  </w:style>
  <w:style w:type="paragraph" w:styleId="FootnoteText">
    <w:name w:val="footnote text"/>
    <w:basedOn w:val="Normal"/>
    <w:link w:val="FootnoteTextChar"/>
    <w:semiHidden/>
    <w:rsid w:val="003226B1"/>
  </w:style>
  <w:style w:type="character" w:customStyle="1" w:styleId="FootnoteTextChar">
    <w:name w:val="Footnote Text Char"/>
    <w:basedOn w:val="DefaultParagraphFont"/>
    <w:link w:val="FootnoteText"/>
    <w:semiHidden/>
    <w:rsid w:val="003226B1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2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6B1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3226B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226B1"/>
    <w:rPr>
      <w:rFonts w:ascii="Arial" w:eastAsia="Times New Roman" w:hAnsi="Arial" w:cs="Times New Roman"/>
      <w:sz w:val="20"/>
      <w:szCs w:val="20"/>
    </w:rPr>
  </w:style>
  <w:style w:type="paragraph" w:customStyle="1" w:styleId="HeaderLine1">
    <w:name w:val="Header Line 1"/>
    <w:basedOn w:val="Normal"/>
    <w:rsid w:val="003226B1"/>
    <w:pPr>
      <w:pBdr>
        <w:bottom w:val="single" w:sz="4" w:space="6" w:color="auto"/>
      </w:pBdr>
      <w:tabs>
        <w:tab w:val="right" w:pos="8222"/>
      </w:tabs>
    </w:pPr>
    <w:rPr>
      <w:sz w:val="24"/>
      <w:szCs w:val="24"/>
    </w:rPr>
  </w:style>
  <w:style w:type="paragraph" w:customStyle="1" w:styleId="HeaderLine2">
    <w:name w:val="Header Line 2"/>
    <w:basedOn w:val="HeaderLine1"/>
    <w:rsid w:val="003226B1"/>
    <w:pPr>
      <w:spacing w:before="120"/>
    </w:pPr>
    <w:rPr>
      <w:color w:val="000000"/>
    </w:rPr>
  </w:style>
  <w:style w:type="paragraph" w:customStyle="1" w:styleId="Bullet1">
    <w:name w:val="Bullet 1"/>
    <w:basedOn w:val="Normal"/>
    <w:rsid w:val="003226B1"/>
    <w:pPr>
      <w:numPr>
        <w:numId w:val="2"/>
      </w:numPr>
    </w:pPr>
  </w:style>
  <w:style w:type="paragraph" w:customStyle="1" w:styleId="NB">
    <w:name w:val="NB"/>
    <w:basedOn w:val="Normal"/>
    <w:next w:val="Normal"/>
    <w:rsid w:val="003226B1"/>
    <w:rPr>
      <w:b/>
      <w:lang w:val="en-US"/>
    </w:rPr>
  </w:style>
  <w:style w:type="paragraph" w:customStyle="1" w:styleId="ColumnHeading">
    <w:name w:val="Column Heading"/>
    <w:basedOn w:val="Normal"/>
    <w:rsid w:val="003226B1"/>
    <w:pPr>
      <w:spacing w:before="80" w:after="0"/>
    </w:pPr>
    <w:rPr>
      <w:b/>
      <w:bCs/>
      <w:sz w:val="16"/>
    </w:rPr>
  </w:style>
  <w:style w:type="paragraph" w:customStyle="1" w:styleId="TableCell">
    <w:name w:val="Table Cell"/>
    <w:basedOn w:val="Normal"/>
    <w:rsid w:val="003226B1"/>
    <w:pPr>
      <w:spacing w:before="8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6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B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B1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26B1"/>
    <w:pPr>
      <w:keepNext/>
      <w:numPr>
        <w:numId w:val="1"/>
      </w:num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26B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3226B1"/>
    <w:pPr>
      <w:keepNext/>
      <w:numPr>
        <w:ilvl w:val="2"/>
        <w:numId w:val="1"/>
      </w:numPr>
      <w:tabs>
        <w:tab w:val="left" w:pos="851"/>
      </w:tabs>
      <w:spacing w:before="240" w:after="6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3226B1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3226B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226B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226B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226B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226B1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6B1"/>
    <w:rPr>
      <w:rFonts w:ascii="Arial" w:eastAsia="Times New Roman" w:hAnsi="Arial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26B1"/>
    <w:rPr>
      <w:rFonts w:ascii="Arial" w:eastAsia="Times New Roman" w:hAnsi="Arial" w:cs="Arial"/>
      <w:b/>
      <w:bC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3226B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226B1"/>
    <w:rPr>
      <w:rFonts w:ascii="Arial" w:eastAsia="Times New Roman" w:hAnsi="Arial" w:cs="Arial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3226B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226B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226B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226B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226B1"/>
    <w:rPr>
      <w:rFonts w:ascii="Arial" w:eastAsia="Times New Roman" w:hAnsi="Arial" w:cs="Arial"/>
    </w:rPr>
  </w:style>
  <w:style w:type="paragraph" w:styleId="FootnoteText">
    <w:name w:val="footnote text"/>
    <w:basedOn w:val="Normal"/>
    <w:link w:val="FootnoteTextChar"/>
    <w:semiHidden/>
    <w:rsid w:val="003226B1"/>
  </w:style>
  <w:style w:type="character" w:customStyle="1" w:styleId="FootnoteTextChar">
    <w:name w:val="Footnote Text Char"/>
    <w:basedOn w:val="DefaultParagraphFont"/>
    <w:link w:val="FootnoteText"/>
    <w:semiHidden/>
    <w:rsid w:val="003226B1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2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6B1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3226B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226B1"/>
    <w:rPr>
      <w:rFonts w:ascii="Arial" w:eastAsia="Times New Roman" w:hAnsi="Arial" w:cs="Times New Roman"/>
      <w:sz w:val="20"/>
      <w:szCs w:val="20"/>
    </w:rPr>
  </w:style>
  <w:style w:type="paragraph" w:customStyle="1" w:styleId="HeaderLine1">
    <w:name w:val="Header Line 1"/>
    <w:basedOn w:val="Normal"/>
    <w:rsid w:val="003226B1"/>
    <w:pPr>
      <w:pBdr>
        <w:bottom w:val="single" w:sz="4" w:space="6" w:color="auto"/>
      </w:pBdr>
      <w:tabs>
        <w:tab w:val="right" w:pos="8222"/>
      </w:tabs>
    </w:pPr>
    <w:rPr>
      <w:sz w:val="24"/>
      <w:szCs w:val="24"/>
    </w:rPr>
  </w:style>
  <w:style w:type="paragraph" w:customStyle="1" w:styleId="HeaderLine2">
    <w:name w:val="Header Line 2"/>
    <w:basedOn w:val="HeaderLine1"/>
    <w:rsid w:val="003226B1"/>
    <w:pPr>
      <w:spacing w:before="120"/>
    </w:pPr>
    <w:rPr>
      <w:color w:val="000000"/>
    </w:rPr>
  </w:style>
  <w:style w:type="paragraph" w:customStyle="1" w:styleId="Bullet1">
    <w:name w:val="Bullet 1"/>
    <w:basedOn w:val="Normal"/>
    <w:rsid w:val="003226B1"/>
    <w:pPr>
      <w:numPr>
        <w:numId w:val="2"/>
      </w:numPr>
    </w:pPr>
  </w:style>
  <w:style w:type="paragraph" w:customStyle="1" w:styleId="NB">
    <w:name w:val="NB"/>
    <w:basedOn w:val="Normal"/>
    <w:next w:val="Normal"/>
    <w:rsid w:val="003226B1"/>
    <w:rPr>
      <w:b/>
      <w:lang w:val="en-US"/>
    </w:rPr>
  </w:style>
  <w:style w:type="paragraph" w:customStyle="1" w:styleId="ColumnHeading">
    <w:name w:val="Column Heading"/>
    <w:basedOn w:val="Normal"/>
    <w:rsid w:val="003226B1"/>
    <w:pPr>
      <w:spacing w:before="80" w:after="0"/>
    </w:pPr>
    <w:rPr>
      <w:b/>
      <w:bCs/>
      <w:sz w:val="16"/>
    </w:rPr>
  </w:style>
  <w:style w:type="paragraph" w:customStyle="1" w:styleId="TableCell">
    <w:name w:val="Table Cell"/>
    <w:basedOn w:val="Normal"/>
    <w:rsid w:val="003226B1"/>
    <w:pPr>
      <w:spacing w:before="8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6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2016-04-12T08:06:00Z</dcterms:created>
  <dcterms:modified xsi:type="dcterms:W3CDTF">2016-04-12T08:06:00Z</dcterms:modified>
</cp:coreProperties>
</file>