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C" w:rsidRDefault="0064217C" w:rsidP="0064217C">
      <w:pPr>
        <w:ind w:left="0"/>
        <w:rPr>
          <w:u w:val="single"/>
          <w:lang w:val="en-US"/>
        </w:rPr>
      </w:pPr>
      <w:bookmarkStart w:id="0" w:name="_GoBack"/>
      <w:bookmarkEnd w:id="0"/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1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Period: From 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 xml:space="preserve"> To: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</w:p>
    <w:p w:rsidR="0064217C" w:rsidRDefault="0064217C" w:rsidP="0064217C">
      <w:pPr>
        <w:ind w:left="0"/>
        <w:rPr>
          <w:u w:val="single"/>
          <w:lang w:val="en-US"/>
        </w:rPr>
      </w:pPr>
    </w:p>
    <w:p w:rsidR="0064217C" w:rsidRDefault="0064217C" w:rsidP="0064217C">
      <w:pPr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Individual Hydrotherapy Pools and associated recirculation systems </w:t>
      </w:r>
      <w:r w:rsidRPr="00C87876">
        <w:rPr>
          <w:b/>
          <w:highlight w:val="yellow"/>
          <w:u w:val="single"/>
          <w:lang w:val="en-US"/>
        </w:rPr>
        <w:t>(or similar equipment like spa pedicure tube/throne)</w:t>
      </w:r>
      <w:r>
        <w:rPr>
          <w:b/>
          <w:u w:val="single"/>
          <w:lang w:val="en-US"/>
        </w:rPr>
        <w:t>:</w:t>
      </w:r>
    </w:p>
    <w:p w:rsidR="0064217C" w:rsidRDefault="0064217C" w:rsidP="0064217C">
      <w:pPr>
        <w:ind w:left="0"/>
        <w:rPr>
          <w:b/>
          <w:u w:val="single"/>
          <w:lang w:val="en-US"/>
        </w:rPr>
      </w:pPr>
    </w:p>
    <w:p w:rsidR="0064217C" w:rsidRDefault="0064217C" w:rsidP="0064217C">
      <w:pPr>
        <w:numPr>
          <w:ilvl w:val="0"/>
          <w:numId w:val="5"/>
        </w:numPr>
        <w:rPr>
          <w:lang w:val="en-US"/>
        </w:rPr>
      </w:pPr>
      <w:r w:rsidRPr="00D16880">
        <w:rPr>
          <w:lang w:val="en-US"/>
        </w:rPr>
        <w:t xml:space="preserve">Disinfected between </w:t>
      </w:r>
      <w:r w:rsidRPr="00002576">
        <w:rPr>
          <w:highlight w:val="yellow"/>
          <w:lang w:val="en-US"/>
        </w:rPr>
        <w:t>each</w:t>
      </w:r>
      <w:r>
        <w:rPr>
          <w:lang w:val="en-US"/>
        </w:rPr>
        <w:t xml:space="preserve"> </w:t>
      </w:r>
      <w:r w:rsidRPr="00D16880">
        <w:rPr>
          <w:lang w:val="en-US"/>
        </w:rPr>
        <w:t>occupant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/</w:t>
      </w:r>
      <w:proofErr w:type="gramEnd"/>
      <w:r>
        <w:rPr>
          <w:lang w:val="en-US"/>
        </w:rPr>
        <w:t xml:space="preserve"> </w:t>
      </w:r>
      <w:r w:rsidRPr="00002576">
        <w:rPr>
          <w:highlight w:val="yellow"/>
          <w:lang w:val="en-US"/>
        </w:rPr>
        <w:t>customer</w:t>
      </w:r>
      <w:r>
        <w:rPr>
          <w:lang w:val="en-US"/>
        </w:rPr>
        <w:t xml:space="preserve"> </w:t>
      </w:r>
      <w:r w:rsidRPr="00E964A2">
        <w:rPr>
          <w:lang w:val="en-US"/>
        </w:rPr>
        <w:t xml:space="preserve">with an appropriate halogen-based disinfectant at min </w:t>
      </w:r>
      <w:r w:rsidRPr="007E6A62">
        <w:rPr>
          <w:highlight w:val="yellow"/>
          <w:lang w:val="en-US"/>
        </w:rPr>
        <w:t>100</w:t>
      </w:r>
      <w:r w:rsidRPr="00E964A2">
        <w:rPr>
          <w:lang w:val="en-US"/>
        </w:rPr>
        <w:t xml:space="preserve"> ppm for </w:t>
      </w:r>
      <w:r w:rsidRPr="007E6A62">
        <w:rPr>
          <w:highlight w:val="yellow"/>
          <w:lang w:val="en-US"/>
        </w:rPr>
        <w:t>6</w:t>
      </w:r>
      <w:r w:rsidRPr="00E964A2">
        <w:rPr>
          <w:lang w:val="en-US"/>
        </w:rPr>
        <w:t xml:space="preserve"> minutes</w:t>
      </w:r>
      <w:r>
        <w:rPr>
          <w:lang w:val="en-US"/>
        </w:rPr>
        <w:t xml:space="preserve"> or equivalent Concentration x </w:t>
      </w:r>
      <w:r w:rsidRPr="00E964A2">
        <w:rPr>
          <w:lang w:val="en-US"/>
        </w:rPr>
        <w:t>Time (CT) value</w:t>
      </w:r>
      <w:r w:rsidRPr="00767377" w:rsidDel="009F3A74">
        <w:rPr>
          <w:i/>
          <w:lang w:val="en-US"/>
        </w:rPr>
        <w:t xml:space="preserve"> </w:t>
      </w:r>
      <w:r w:rsidRPr="00767377">
        <w:rPr>
          <w:i/>
          <w:lang w:val="en-US"/>
        </w:rPr>
        <w:t>under normal (non – enhanced epidemic control) sanitation. For further details see Hygiene Log PH  16 (“Normal Sanitation and Enhanced Epidemic Control Sanitation”))</w:t>
      </w:r>
      <w:r>
        <w:rPr>
          <w:i/>
          <w:lang w:val="en-US"/>
        </w:rPr>
        <w:t xml:space="preserve"> </w:t>
      </w:r>
      <w:r w:rsidRPr="00002576">
        <w:rPr>
          <w:highlight w:val="yellow"/>
          <w:lang w:val="en-US"/>
        </w:rPr>
        <w:t>and weekly</w:t>
      </w:r>
    </w:p>
    <w:p w:rsidR="0064217C" w:rsidRPr="00D16880" w:rsidRDefault="0064217C" w:rsidP="0064217C">
      <w:pPr>
        <w:ind w:left="720"/>
        <w:rPr>
          <w:lang w:val="en-US"/>
        </w:rPr>
      </w:pPr>
    </w:p>
    <w:p w:rsidR="0064217C" w:rsidRDefault="0064217C" w:rsidP="0064217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Log maintained, as per below, </w:t>
      </w:r>
      <w:r w:rsidRPr="007E6A62">
        <w:rPr>
          <w:highlight w:val="yellow"/>
          <w:lang w:val="en-US"/>
        </w:rPr>
        <w:t>for equipment: _____________________</w:t>
      </w:r>
    </w:p>
    <w:p w:rsidR="0064217C" w:rsidRDefault="0064217C" w:rsidP="0064217C">
      <w:pPr>
        <w:pStyle w:val="ListParagraph"/>
        <w:rPr>
          <w:lang w:val="en-US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1276"/>
        <w:gridCol w:w="1275"/>
        <w:gridCol w:w="1276"/>
        <w:gridCol w:w="992"/>
        <w:gridCol w:w="993"/>
        <w:gridCol w:w="1275"/>
      </w:tblGrid>
      <w:tr w:rsidR="0064217C" w:rsidRPr="00B53E76" w:rsidTr="00CC1E87">
        <w:trPr>
          <w:trHeight w:val="714"/>
          <w:tblHeader/>
        </w:trPr>
        <w:tc>
          <w:tcPr>
            <w:tcW w:w="817" w:type="dxa"/>
            <w:vMerge w:val="restart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51" w:type="dxa"/>
            <w:vMerge w:val="restart"/>
          </w:tcPr>
          <w:p w:rsidR="0064217C" w:rsidRPr="00B53E76" w:rsidRDefault="0064217C" w:rsidP="00CC1E8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2" w:type="dxa"/>
            <w:vMerge w:val="restart"/>
          </w:tcPr>
          <w:p w:rsidR="0064217C" w:rsidRPr="00B53E76" w:rsidRDefault="0064217C" w:rsidP="00CC1E8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Between each occupant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Disinfected</w:t>
            </w:r>
          </w:p>
          <w:p w:rsidR="0064217C" w:rsidRPr="00D41794" w:rsidRDefault="0064217C" w:rsidP="00CC1E8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Pool / </w:t>
            </w:r>
            <w:r w:rsidRPr="00B52A92">
              <w:rPr>
                <w:highlight w:val="yellow"/>
                <w:lang w:val="en-US"/>
              </w:rPr>
              <w:t>basin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Disinfected</w:t>
            </w:r>
          </w:p>
          <w:p w:rsidR="0064217C" w:rsidRPr="00D41794" w:rsidRDefault="0064217C" w:rsidP="00CC1E8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associated recirculation system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217C" w:rsidRDefault="0064217C" w:rsidP="00CC1E8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Disinfectant – type, name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17C" w:rsidRPr="00F25298" w:rsidRDefault="0064217C" w:rsidP="00CC1E87">
            <w:pPr>
              <w:ind w:left="-91" w:right="-108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 xml:space="preserve">Concentration x  Time </w:t>
            </w:r>
          </w:p>
          <w:p w:rsidR="0064217C" w:rsidRPr="00F25298" w:rsidRDefault="0064217C" w:rsidP="00CC1E87">
            <w:pPr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 xml:space="preserve">(CT) Value (equal to </w:t>
            </w:r>
            <w:r w:rsidRPr="007E6A62">
              <w:rPr>
                <w:sz w:val="20"/>
                <w:szCs w:val="20"/>
                <w:highlight w:val="yellow"/>
                <w:lang w:val="en-US"/>
              </w:rPr>
              <w:t>100</w:t>
            </w:r>
            <w:r>
              <w:rPr>
                <w:sz w:val="20"/>
                <w:szCs w:val="20"/>
                <w:lang w:val="en-US"/>
              </w:rPr>
              <w:t xml:space="preserve"> ppm for </w:t>
            </w:r>
            <w:r w:rsidRPr="007E6A62">
              <w:rPr>
                <w:sz w:val="20"/>
                <w:szCs w:val="20"/>
                <w:highlight w:val="yellow"/>
                <w:lang w:val="en-US"/>
              </w:rPr>
              <w:t>6</w:t>
            </w:r>
            <w:r w:rsidRPr="00F25298">
              <w:rPr>
                <w:sz w:val="20"/>
                <w:szCs w:val="20"/>
                <w:lang w:val="en-US"/>
              </w:rPr>
              <w:t xml:space="preserve"> min)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</w:tcBorders>
          </w:tcPr>
          <w:p w:rsidR="0064217C" w:rsidRDefault="0064217C" w:rsidP="00CC1E87">
            <w:pPr>
              <w:ind w:left="-108" w:right="-108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t>Respons</w:t>
            </w:r>
            <w:r>
              <w:rPr>
                <w:lang w:val="en-US"/>
              </w:rPr>
              <w:t>ible person, signed:</w:t>
            </w:r>
          </w:p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</w:p>
        </w:tc>
      </w:tr>
      <w:tr w:rsidR="0064217C" w:rsidRPr="00B53E76" w:rsidTr="00CC1E87">
        <w:trPr>
          <w:trHeight w:val="363"/>
          <w:tblHeader/>
        </w:trPr>
        <w:tc>
          <w:tcPr>
            <w:tcW w:w="817" w:type="dxa"/>
            <w:vMerge/>
          </w:tcPr>
          <w:p w:rsidR="0064217C" w:rsidRDefault="0064217C" w:rsidP="00CC1E8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</w:tcPr>
          <w:p w:rsidR="0064217C" w:rsidRDefault="0064217C" w:rsidP="00CC1E87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</w:tcPr>
          <w:p w:rsidR="0064217C" w:rsidRDefault="0064217C" w:rsidP="00CC1E87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217C" w:rsidRPr="00F25298" w:rsidRDefault="0064217C" w:rsidP="00CC1E87">
            <w:pPr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>Concentra</w:t>
            </w: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F25298">
              <w:rPr>
                <w:sz w:val="20"/>
                <w:szCs w:val="20"/>
                <w:lang w:val="en-US"/>
              </w:rPr>
              <w:t>tion</w:t>
            </w:r>
            <w:proofErr w:type="spellEnd"/>
            <w:r w:rsidRPr="00F25298">
              <w:rPr>
                <w:sz w:val="20"/>
                <w:szCs w:val="20"/>
                <w:lang w:val="en-US"/>
              </w:rPr>
              <w:t xml:space="preserve"> ppm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217C" w:rsidRPr="00F25298" w:rsidRDefault="0064217C" w:rsidP="00CC1E87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25298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275" w:type="dxa"/>
            <w:vMerge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4217C" w:rsidRDefault="0064217C" w:rsidP="00CC1E87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4217C" w:rsidRPr="00B53E76" w:rsidTr="00CC1E8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7C" w:rsidRPr="00EF168A" w:rsidRDefault="0064217C" w:rsidP="00CC1E87">
            <w:pPr>
              <w:ind w:left="0"/>
              <w:jc w:val="center"/>
              <w:rPr>
                <w:lang w:val="en-US"/>
              </w:rPr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4217C" w:rsidRPr="00EF168A" w:rsidRDefault="0064217C" w:rsidP="00CC1E87">
            <w:pPr>
              <w:ind w:left="0"/>
              <w:jc w:val="center"/>
              <w:rPr>
                <w:lang w:val="en-US"/>
              </w:rPr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4217C" w:rsidRPr="00EF168A" w:rsidRDefault="0064217C" w:rsidP="00CC1E87">
            <w:pPr>
              <w:ind w:left="0"/>
              <w:jc w:val="center"/>
              <w:rPr>
                <w:lang w:val="en-US"/>
              </w:rPr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4217C" w:rsidRPr="00B53E76" w:rsidRDefault="0064217C" w:rsidP="00CC1E8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64217C" w:rsidRDefault="0064217C" w:rsidP="0064217C">
      <w:pPr>
        <w:ind w:left="0"/>
        <w:rPr>
          <w:i/>
          <w:lang w:val="en-US"/>
        </w:rPr>
      </w:pPr>
    </w:p>
    <w:p w:rsidR="0064217C" w:rsidRDefault="0064217C" w:rsidP="0064217C">
      <w:pPr>
        <w:ind w:left="0"/>
        <w:rPr>
          <w:i/>
          <w:lang w:val="en-US"/>
        </w:rPr>
      </w:pPr>
    </w:p>
    <w:p w:rsidR="0064217C" w:rsidRDefault="0064217C" w:rsidP="0064217C">
      <w:pPr>
        <w:ind w:left="0"/>
        <w:rPr>
          <w:lang w:val="en-US"/>
        </w:rPr>
      </w:pPr>
      <w:r>
        <w:rPr>
          <w:lang w:val="en-US"/>
        </w:rPr>
        <w:t xml:space="preserve">Spa Manager: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Hotel </w:t>
      </w:r>
      <w:r>
        <w:rPr>
          <w:lang w:val="en-US"/>
        </w:rPr>
        <w:t xml:space="preserve">Manager: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" w:name="Text26"/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bookmarkEnd w:id="3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64217C" w:rsidRDefault="0064217C" w:rsidP="0064217C">
      <w:pPr>
        <w:ind w:left="0"/>
        <w:rPr>
          <w:lang w:val="en-US"/>
        </w:rPr>
      </w:pPr>
    </w:p>
    <w:p w:rsidR="0064217C" w:rsidRPr="00E1371A" w:rsidRDefault="0064217C" w:rsidP="0064217C">
      <w:pPr>
        <w:ind w:left="0"/>
        <w:rPr>
          <w:i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1371A" w:rsidRPr="0064217C" w:rsidRDefault="00E1371A" w:rsidP="0064217C"/>
    <w:sectPr w:rsidR="00E1371A" w:rsidRPr="0064217C" w:rsidSect="00983A1B">
      <w:headerReference w:type="default" r:id="rId8"/>
      <w:footerReference w:type="default" r:id="rId9"/>
      <w:pgSz w:w="11906" w:h="16838"/>
      <w:pgMar w:top="1531" w:right="1134" w:bottom="1418" w:left="1134" w:header="709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494" w:rsidRDefault="00A92494" w:rsidP="00E1371A">
      <w:r>
        <w:separator/>
      </w:r>
    </w:p>
  </w:endnote>
  <w:endnote w:type="continuationSeparator" w:id="0">
    <w:p w:rsidR="00A92494" w:rsidRDefault="00A92494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2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481"/>
      <w:gridCol w:w="2481"/>
      <w:gridCol w:w="2098"/>
    </w:tblGrid>
    <w:tr w:rsidR="0064217C" w:rsidTr="00CC1E87">
      <w:tc>
        <w:tcPr>
          <w:tcW w:w="262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4217C" w:rsidRPr="00DD6CE4" w:rsidRDefault="0064217C" w:rsidP="00CC1E87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 w:rsidRPr="00DD6CE4">
            <w:rPr>
              <w:spacing w:val="-2"/>
              <w:sz w:val="16"/>
            </w:rPr>
            <w:fldChar w:fldCharType="begin"/>
          </w:r>
          <w:r w:rsidRPr="00DD6CE4">
            <w:rPr>
              <w:spacing w:val="-2"/>
              <w:sz w:val="16"/>
            </w:rPr>
            <w:instrText xml:space="preserve">PRIVATE </w:instrText>
          </w:r>
          <w:r w:rsidRPr="00DD6CE4">
            <w:rPr>
              <w:spacing w:val="-2"/>
              <w:sz w:val="16"/>
            </w:rPr>
            <w:fldChar w:fldCharType="end"/>
          </w:r>
          <w:r w:rsidRPr="00DD6CE4">
            <w:rPr>
              <w:spacing w:val="-2"/>
              <w:sz w:val="16"/>
            </w:rPr>
            <w:t>Hygiene Log (PH) 26 (</w:t>
          </w:r>
          <w:proofErr w:type="spellStart"/>
          <w:r w:rsidRPr="00DD6CE4">
            <w:rPr>
              <w:spacing w:val="-2"/>
              <w:sz w:val="16"/>
            </w:rPr>
            <w:t>Pax</w:t>
          </w:r>
          <w:proofErr w:type="spellEnd"/>
          <w:r w:rsidRPr="00DD6CE4">
            <w:rPr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4217C" w:rsidRPr="00DD6CE4" w:rsidRDefault="0064217C" w:rsidP="00CC1E87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 w:rsidRPr="00DD6CE4">
            <w:rPr>
              <w:spacing w:val="-2"/>
              <w:sz w:val="16"/>
            </w:rPr>
            <w:t>Version: 1   Issued: 10/09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4217C" w:rsidRPr="00DD6CE4" w:rsidRDefault="0064217C" w:rsidP="00CC1E87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DD6CE4">
            <w:rPr>
              <w:spacing w:val="-2"/>
              <w:sz w:val="16"/>
            </w:rPr>
            <w:t>Revision: 2   Issued: 04/17</w:t>
          </w:r>
        </w:p>
      </w:tc>
      <w:tc>
        <w:tcPr>
          <w:tcW w:w="209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4217C" w:rsidRDefault="0064217C" w:rsidP="00CC1E87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DD6CE4">
            <w:rPr>
              <w:spacing w:val="-2"/>
              <w:sz w:val="16"/>
            </w:rPr>
            <w:t xml:space="preserve">Page </w:t>
          </w:r>
          <w:r w:rsidRPr="00DD6CE4">
            <w:rPr>
              <w:spacing w:val="-2"/>
              <w:sz w:val="16"/>
            </w:rPr>
            <w:fldChar w:fldCharType="begin"/>
          </w:r>
          <w:r w:rsidRPr="00DD6CE4">
            <w:rPr>
              <w:spacing w:val="-2"/>
              <w:sz w:val="16"/>
            </w:rPr>
            <w:instrText>page \* arabic</w:instrText>
          </w:r>
          <w:r w:rsidRPr="00DD6CE4">
            <w:rPr>
              <w:spacing w:val="-2"/>
              <w:sz w:val="16"/>
            </w:rPr>
            <w:fldChar w:fldCharType="separate"/>
          </w:r>
          <w:r w:rsidR="00A46C85">
            <w:rPr>
              <w:noProof/>
              <w:spacing w:val="-2"/>
              <w:sz w:val="16"/>
            </w:rPr>
            <w:t>1</w:t>
          </w:r>
          <w:r w:rsidRPr="00DD6CE4">
            <w:rPr>
              <w:spacing w:val="-2"/>
              <w:sz w:val="16"/>
            </w:rPr>
            <w:fldChar w:fldCharType="end"/>
          </w:r>
          <w:r w:rsidRPr="00DD6CE4">
            <w:rPr>
              <w:spacing w:val="-2"/>
              <w:sz w:val="16"/>
            </w:rPr>
            <w:t xml:space="preserve"> of </w:t>
          </w:r>
          <w:fldSimple w:instr=" NUMPAGES  \* MERGEFORMAT ">
            <w:r w:rsidR="00A46C85" w:rsidRPr="00A46C85">
              <w:rPr>
                <w:noProof/>
                <w:spacing w:val="-2"/>
                <w:sz w:val="16"/>
              </w:rPr>
              <w:t>1</w:t>
            </w:r>
          </w:fldSimple>
        </w:p>
      </w:tc>
    </w:tr>
  </w:tbl>
  <w:p w:rsidR="0030587B" w:rsidRDefault="0030587B">
    <w:pPr>
      <w:pStyle w:val="Footer"/>
    </w:pPr>
  </w:p>
  <w:p w:rsidR="0030587B" w:rsidRDefault="00305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494" w:rsidRDefault="00A92494" w:rsidP="00E1371A">
      <w:r>
        <w:separator/>
      </w:r>
    </w:p>
  </w:footnote>
  <w:footnote w:type="continuationSeparator" w:id="0">
    <w:p w:rsidR="00A92494" w:rsidRDefault="00A92494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7B" w:rsidRPr="00B53E76" w:rsidRDefault="00D16880" w:rsidP="00605576">
    <w:pPr>
      <w:pStyle w:val="Header"/>
      <w:jc w:val="cent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>Individual Hydrotherapy Pools</w:t>
    </w:r>
    <w:r w:rsidR="006207D8">
      <w:rPr>
        <w:b/>
        <w:sz w:val="24"/>
        <w:szCs w:val="24"/>
        <w:lang w:val="en-US"/>
      </w:rPr>
      <w:t xml:space="preserve"> </w:t>
    </w:r>
    <w:r w:rsidR="0030587B" w:rsidRPr="00B53E76">
      <w:rPr>
        <w:b/>
        <w:sz w:val="24"/>
        <w:szCs w:val="24"/>
        <w:lang w:val="en-US"/>
      </w:rPr>
      <w:t>Log</w:t>
    </w:r>
  </w:p>
  <w:p w:rsidR="0030587B" w:rsidRPr="0030587B" w:rsidRDefault="0030587B" w:rsidP="00605576">
    <w:pPr>
      <w:pStyle w:val="Header"/>
      <w:jc w:val="center"/>
      <w:rPr>
        <w:lang w:val="en-US"/>
      </w:rPr>
    </w:pPr>
    <w:r w:rsidRPr="0030587B">
      <w:rPr>
        <w:lang w:val="en-US"/>
      </w:rPr>
      <w:t>(</w:t>
    </w:r>
    <w:r w:rsidRPr="00A46C85">
      <w:rPr>
        <w:rFonts w:asciiTheme="minorHAnsi" w:hAnsiTheme="minorHAnsi"/>
        <w:lang w:val="en-US"/>
      </w:rPr>
      <w:t xml:space="preserve">Reference </w:t>
    </w:r>
    <w:hyperlink r:id="rId1" w:history="1">
      <w:r w:rsidR="00A46C85" w:rsidRPr="00A46C85">
        <w:rPr>
          <w:rStyle w:val="Hyperlink"/>
          <w:rFonts w:asciiTheme="minorHAnsi" w:hAnsiTheme="minorHAnsi" w:cs="Segoe UI"/>
        </w:rPr>
        <w:t>Health</w:t>
      </w:r>
    </w:hyperlink>
    <w:r w:rsidR="00A46C85" w:rsidRPr="00A46C85">
      <w:rPr>
        <w:rStyle w:val="mcbreadcrumbsdivider"/>
        <w:rFonts w:asciiTheme="minorHAnsi" w:hAnsiTheme="minorHAnsi" w:cs="Segoe UI"/>
      </w:rPr>
      <w:t xml:space="preserve"> &gt; </w:t>
    </w:r>
    <w:r w:rsidR="00A46C85" w:rsidRPr="00A46C85">
      <w:rPr>
        <w:rStyle w:val="mcbreadcrumbsself"/>
        <w:rFonts w:asciiTheme="minorHAnsi" w:hAnsiTheme="minorHAnsi" w:cs="Segoe UI"/>
      </w:rPr>
      <w:t>1.0 Hygiene &amp; Sanitation</w:t>
    </w:r>
    <w:r w:rsidR="00A46C85" w:rsidRPr="00A46C85">
      <w:rPr>
        <w:rStyle w:val="mcbreadcrumbsself"/>
        <w:rFonts w:asciiTheme="minorHAnsi" w:hAnsiTheme="minorHAnsi" w:cs="Segoe UI"/>
      </w:rPr>
      <w:t xml:space="preserve"> &gt; </w:t>
    </w:r>
    <w:hyperlink r:id="rId2" w:history="1">
      <w:r w:rsidR="00A46C85" w:rsidRPr="00A46C85">
        <w:rPr>
          <w:rStyle w:val="Hyperlink"/>
          <w:rFonts w:asciiTheme="minorHAnsi" w:hAnsiTheme="minorHAnsi" w:cs="Segoe UI"/>
        </w:rPr>
        <w:t>1.10 Recreational Water Facilities (RWF) Operation and Maintenance</w:t>
      </w:r>
    </w:hyperlink>
    <w:r w:rsidRPr="0030587B">
      <w:rPr>
        <w:lang w:val="en-US"/>
      </w:rPr>
      <w:t xml:space="preserve">; USA CDC VSP Manual, </w:t>
    </w:r>
    <w:proofErr w:type="gramStart"/>
    <w:r w:rsidRPr="0030587B">
      <w:rPr>
        <w:lang w:val="en-US"/>
      </w:rPr>
      <w:t>Ch.6 )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06DC0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5385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E5B7A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A5386"/>
    <w:rsid w:val="004B1EB6"/>
    <w:rsid w:val="004B27D9"/>
    <w:rsid w:val="004B3571"/>
    <w:rsid w:val="004B4151"/>
    <w:rsid w:val="004B4265"/>
    <w:rsid w:val="004C5D0E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263A7"/>
    <w:rsid w:val="005318DE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603C3F"/>
    <w:rsid w:val="00604F63"/>
    <w:rsid w:val="00605576"/>
    <w:rsid w:val="00612F11"/>
    <w:rsid w:val="0061397C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217C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C029E"/>
    <w:rsid w:val="006C10E9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3F5B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36DD4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66EC9"/>
    <w:rsid w:val="00972DDE"/>
    <w:rsid w:val="0097319D"/>
    <w:rsid w:val="00973847"/>
    <w:rsid w:val="0098350B"/>
    <w:rsid w:val="00983A1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2AAD"/>
    <w:rsid w:val="009C010C"/>
    <w:rsid w:val="009C4E1D"/>
    <w:rsid w:val="009C6D51"/>
    <w:rsid w:val="009D291B"/>
    <w:rsid w:val="009D68C5"/>
    <w:rsid w:val="009E3BCF"/>
    <w:rsid w:val="009E45D3"/>
    <w:rsid w:val="009F1BE3"/>
    <w:rsid w:val="009F3A74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31DC"/>
    <w:rsid w:val="00A45F04"/>
    <w:rsid w:val="00A46C85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2494"/>
    <w:rsid w:val="00A94CC4"/>
    <w:rsid w:val="00A9679D"/>
    <w:rsid w:val="00A977DB"/>
    <w:rsid w:val="00AA0920"/>
    <w:rsid w:val="00AA5223"/>
    <w:rsid w:val="00AA5DE4"/>
    <w:rsid w:val="00AA7450"/>
    <w:rsid w:val="00AB45A1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D4C"/>
    <w:rsid w:val="00AF0FC3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31E2"/>
    <w:rsid w:val="00B2569A"/>
    <w:rsid w:val="00B25CD2"/>
    <w:rsid w:val="00B312FD"/>
    <w:rsid w:val="00B315DC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01B3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071B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298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DEE"/>
    <w:rsid w:val="00FA0E4C"/>
    <w:rsid w:val="00FA1D5C"/>
    <w:rsid w:val="00FA3520"/>
    <w:rsid w:val="00FA3D20"/>
    <w:rsid w:val="00FA4878"/>
    <w:rsid w:val="00FA6E1A"/>
    <w:rsid w:val="00FA6FA9"/>
    <w:rsid w:val="00FB3961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E2421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46C85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A46C85"/>
  </w:style>
  <w:style w:type="character" w:customStyle="1" w:styleId="mcbreadcrumbsself">
    <w:name w:val="mcbreadcrumbsself"/>
    <w:basedOn w:val="DefaultParagraphFont"/>
    <w:rsid w:val="00A46C85"/>
  </w:style>
  <w:style w:type="character" w:customStyle="1" w:styleId="mcdropdownhead1">
    <w:name w:val="mcdropdownhead1"/>
    <w:basedOn w:val="DefaultParagraphFont"/>
    <w:rsid w:val="00A46C85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2016-04-12T09:28:00Z</dcterms:created>
  <dcterms:modified xsi:type="dcterms:W3CDTF">2019-02-14T13:23:00Z</dcterms:modified>
</cp:coreProperties>
</file>