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EE0D" w14:textId="77777777" w:rsidR="00E14421" w:rsidRDefault="00E14421" w:rsidP="00E14421">
      <w:pPr>
        <w:pStyle w:val="ListFooter"/>
        <w:jc w:val="left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  <w:t>Time:</w:t>
      </w:r>
      <w:r>
        <w:rPr>
          <w:lang w:val="en-US"/>
        </w:rPr>
        <w:tab/>
      </w:r>
      <w:r>
        <w:rPr>
          <w:lang w:val="en-US"/>
        </w:rPr>
        <w:tab/>
      </w:r>
      <w:r w:rsidR="006F06E1">
        <w:rPr>
          <w:lang w:val="en-US"/>
        </w:rPr>
        <w:t>Port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68A1C32" w14:textId="77777777" w:rsidR="00E614DA" w:rsidRPr="001647DD" w:rsidRDefault="00E614DA" w:rsidP="00E614DA">
      <w:pPr>
        <w:pStyle w:val="Caution"/>
        <w:rPr>
          <w:sz w:val="22"/>
          <w:szCs w:val="22"/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146A17" w:rsidRPr="001647DD">
        <w:rPr>
          <w:sz w:val="22"/>
          <w:szCs w:val="22"/>
          <w:lang w:val="en-US"/>
        </w:rPr>
        <w:t>Postpone handover if</w:t>
      </w:r>
      <w:r w:rsidR="00146A17" w:rsidRPr="001647DD">
        <w:rPr>
          <w:sz w:val="22"/>
          <w:szCs w:val="22"/>
        </w:rPr>
        <w:t xml:space="preserve"> the ship is, or is about to be engaged in a </w:t>
      </w:r>
      <w:r w:rsidR="005825F9" w:rsidRPr="001647DD">
        <w:rPr>
          <w:sz w:val="22"/>
          <w:szCs w:val="22"/>
        </w:rPr>
        <w:t>change of machinery status (i.e. starting/ stopping of engines)</w:t>
      </w:r>
      <w:r w:rsidR="007F6FAD" w:rsidRPr="001647DD">
        <w:rPr>
          <w:sz w:val="22"/>
          <w:szCs w:val="22"/>
        </w:rPr>
        <w:t xml:space="preserve">. Should the relieving </w:t>
      </w:r>
      <w:r w:rsidR="005825F9" w:rsidRPr="001647DD">
        <w:rPr>
          <w:sz w:val="22"/>
          <w:szCs w:val="22"/>
        </w:rPr>
        <w:t>E</w:t>
      </w:r>
      <w:r w:rsidR="007F6FAD" w:rsidRPr="001647DD">
        <w:rPr>
          <w:sz w:val="22"/>
          <w:szCs w:val="22"/>
        </w:rPr>
        <w:t xml:space="preserve">OOW consider the vessel to be in danger, he may refuse to take over the watch until the </w:t>
      </w:r>
      <w:r w:rsidR="005825F9" w:rsidRPr="001647DD">
        <w:rPr>
          <w:sz w:val="22"/>
          <w:szCs w:val="22"/>
        </w:rPr>
        <w:t>Ch. Engineer</w:t>
      </w:r>
      <w:r w:rsidR="007F6FAD" w:rsidRPr="001647DD">
        <w:rPr>
          <w:sz w:val="22"/>
          <w:szCs w:val="22"/>
        </w:rPr>
        <w:t xml:space="preserve"> has been advised and his instructions are received.  The handing over </w:t>
      </w:r>
      <w:r w:rsidR="005825F9" w:rsidRPr="001647DD">
        <w:rPr>
          <w:sz w:val="22"/>
          <w:szCs w:val="22"/>
        </w:rPr>
        <w:t>E</w:t>
      </w:r>
      <w:r w:rsidR="007F6FAD" w:rsidRPr="001647DD">
        <w:rPr>
          <w:sz w:val="22"/>
          <w:szCs w:val="22"/>
        </w:rPr>
        <w:t xml:space="preserve">OOW should not hand over the watch to the relieving </w:t>
      </w:r>
      <w:r w:rsidR="005825F9" w:rsidRPr="001647DD">
        <w:rPr>
          <w:sz w:val="22"/>
          <w:szCs w:val="22"/>
        </w:rPr>
        <w:t>E</w:t>
      </w:r>
      <w:r w:rsidR="007F6FAD" w:rsidRPr="001647DD">
        <w:rPr>
          <w:sz w:val="22"/>
          <w:szCs w:val="22"/>
        </w:rPr>
        <w:t xml:space="preserve">OOW if he has reason to believe that the latter is not capable of carrying out his duties effectively, in which case he should notify the </w:t>
      </w:r>
      <w:r w:rsidR="005825F9" w:rsidRPr="001647DD">
        <w:rPr>
          <w:sz w:val="22"/>
          <w:szCs w:val="22"/>
        </w:rPr>
        <w:t>Ch. Engineer</w:t>
      </w:r>
    </w:p>
    <w:p w14:paraId="5B68A233" w14:textId="77777777" w:rsidR="003E5A45" w:rsidRDefault="006F06E1" w:rsidP="003E5A45">
      <w:pPr>
        <w:pStyle w:val="ListHeading"/>
        <w:rPr>
          <w:szCs w:val="36"/>
        </w:rPr>
      </w:pPr>
      <w:r>
        <w:rPr>
          <w:szCs w:val="36"/>
        </w:rPr>
        <w:t>Anchor</w:t>
      </w:r>
      <w:r w:rsidR="00E14421">
        <w:rPr>
          <w:szCs w:val="36"/>
        </w:rPr>
        <w:t xml:space="preserve"> watch handover checks</w:t>
      </w: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5238"/>
        <w:gridCol w:w="2203"/>
        <w:gridCol w:w="2204"/>
      </w:tblGrid>
      <w:tr w:rsidR="007871F5" w14:paraId="504DD955" w14:textId="77777777" w:rsidTr="001647DD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82357EA" w14:textId="77777777"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  <w:gridSpan w:val="2"/>
          </w:tcPr>
          <w:p w14:paraId="5EF0A098" w14:textId="77777777"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14:paraId="26783A97" w14:textId="77777777" w:rsidTr="001647D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5978438" w14:textId="77777777" w:rsidR="007871F5" w:rsidRDefault="00FE1C8A" w:rsidP="007A0BD2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>Ch. Engineer</w:t>
            </w:r>
            <w:r w:rsidR="007871F5" w:rsidRPr="00D66303">
              <w:t>’s night and standing orders</w:t>
            </w:r>
            <w:r w:rsidR="007871F5">
              <w:tab/>
              <w:t>briefed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14:paraId="30B8393A" w14:textId="77777777" w:rsidR="007871F5" w:rsidRDefault="007871F5" w:rsidP="00BF5C70"/>
        </w:tc>
      </w:tr>
      <w:tr w:rsidR="007871F5" w14:paraId="375544E8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D6C887F" w14:textId="77777777" w:rsidR="007871F5" w:rsidRPr="001647DD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  <w:rPr>
                <w:color w:val="FF0000"/>
              </w:rPr>
            </w:pPr>
            <w:r w:rsidRPr="001647DD">
              <w:rPr>
                <w:color w:val="FF0000"/>
              </w:rPr>
              <w:t>Status of Main Engines</w:t>
            </w:r>
            <w:r w:rsidRPr="001647DD">
              <w:rPr>
                <w:color w:val="FF0000"/>
              </w:rPr>
              <w:tab/>
              <w:t>infor</w:t>
            </w:r>
            <w:r w:rsidR="007871F5" w:rsidRPr="001647DD">
              <w:rPr>
                <w:color w:val="FF0000"/>
              </w:rPr>
              <w:t>med</w:t>
            </w:r>
            <w:r w:rsidR="007871F5" w:rsidRPr="001647DD">
              <w:rPr>
                <w:color w:val="FF0000"/>
              </w:rPr>
              <w:sym w:font="Webdings" w:char="F063"/>
            </w:r>
          </w:p>
        </w:tc>
        <w:tc>
          <w:tcPr>
            <w:tcW w:w="4407" w:type="dxa"/>
            <w:gridSpan w:val="2"/>
          </w:tcPr>
          <w:p w14:paraId="77BD6193" w14:textId="77777777" w:rsidR="007871F5" w:rsidRPr="001647DD" w:rsidRDefault="001647DD" w:rsidP="00FE1C8A">
            <w:pPr>
              <w:rPr>
                <w:color w:val="FF0000"/>
              </w:rPr>
            </w:pPr>
            <w:r w:rsidRPr="001647DD">
              <w:rPr>
                <w:color w:val="FF0000"/>
              </w:rPr>
              <w:t xml:space="preserve">Readiness </w:t>
            </w:r>
          </w:p>
        </w:tc>
      </w:tr>
      <w:tr w:rsidR="007871F5" w14:paraId="53A95554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D413F89" w14:textId="77777777" w:rsidR="007871F5" w:rsidRDefault="00FE1C8A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Engine Telegraphs</w:t>
            </w:r>
            <w:r w:rsidR="007871F5">
              <w:tab/>
            </w:r>
            <w:r w:rsidR="00771A50">
              <w:t>verified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</w:tcPr>
          <w:p w14:paraId="2B2F6102" w14:textId="77777777" w:rsidR="007871F5" w:rsidRDefault="00FE1C8A" w:rsidP="00FE1C8A">
            <w:r>
              <w:t>Telegraph levers in-line</w:t>
            </w:r>
            <w:r>
              <w:sym w:font="Webdings" w:char="F063"/>
            </w:r>
          </w:p>
        </w:tc>
      </w:tr>
      <w:tr w:rsidR="007871F5" w14:paraId="3824EEE8" w14:textId="77777777" w:rsidTr="001647D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23B5BEC" w14:textId="77777777" w:rsidR="007871F5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Diesel Generators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5A422F7F" w14:textId="77777777" w:rsidR="007871F5" w:rsidRDefault="00FE1C8A" w:rsidP="00FE1C8A">
            <w:r>
              <w:t>port</w:t>
            </w:r>
            <w:r>
              <w:sym w:font="Webdings" w:char="F063"/>
            </w:r>
            <w:r>
              <w:t xml:space="preserve">  starboard</w:t>
            </w:r>
            <w:r>
              <w:sym w:font="Webdings" w:char="F063"/>
            </w:r>
            <w:r>
              <w:t xml:space="preserve"> in service</w:t>
            </w:r>
            <w:r w:rsidR="007871F5">
              <w:t>:</w:t>
            </w:r>
            <w:r>
              <w:t xml:space="preserve"> </w:t>
            </w:r>
          </w:p>
        </w:tc>
      </w:tr>
      <w:tr w:rsidR="007871F5" w14:paraId="486CBFFC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BEE16F7" w14:textId="77777777" w:rsidR="007871F5" w:rsidRPr="001647DD" w:rsidRDefault="001647DD" w:rsidP="001647DD">
            <w:pPr>
              <w:pStyle w:val="FirstLevel"/>
              <w:rPr>
                <w:color w:val="FF0000"/>
              </w:rPr>
            </w:pPr>
            <w:r>
              <w:t xml:space="preserve"> </w:t>
            </w:r>
            <w:r w:rsidRPr="001647DD">
              <w:rPr>
                <w:color w:val="FF0000"/>
              </w:rPr>
              <w:t>Status of Tenders/Zodiac operation</w:t>
            </w:r>
          </w:p>
          <w:p w14:paraId="77F3F604" w14:textId="77777777" w:rsidR="001647DD" w:rsidRDefault="001647DD" w:rsidP="001647DD">
            <w:pPr>
              <w:pStyle w:val="FirstLevel"/>
              <w:numPr>
                <w:ilvl w:val="0"/>
                <w:numId w:val="0"/>
              </w:numPr>
              <w:tabs>
                <w:tab w:val="clear" w:pos="9106"/>
                <w:tab w:val="right" w:leader="dot" w:pos="5040"/>
              </w:tabs>
              <w:ind w:left="113"/>
            </w:pP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6531F40F" w14:textId="77777777" w:rsidR="007871F5" w:rsidRDefault="001647DD" w:rsidP="00DA1E56">
            <w:r>
              <w:t xml:space="preserve">Readiness for assistance </w:t>
            </w:r>
          </w:p>
        </w:tc>
      </w:tr>
      <w:tr w:rsidR="007871F5" w14:paraId="26E80559" w14:textId="77777777" w:rsidTr="001647D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F0E0CE7" w14:textId="77777777"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</w:t>
            </w:r>
            <w:r w:rsidR="007871F5">
              <w:t>tatus</w:t>
            </w:r>
            <w:r>
              <w:t xml:space="preserve"> of Boiler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2911B20A" w14:textId="77777777" w:rsidR="007871F5" w:rsidRDefault="00771A50" w:rsidP="00BF5C70">
            <w:r>
              <w:t>port</w:t>
            </w:r>
            <w:r>
              <w:sym w:font="Webdings" w:char="F063"/>
            </w:r>
            <w:r>
              <w:t xml:space="preserve">  starboard</w:t>
            </w:r>
            <w:r>
              <w:sym w:font="Webdings" w:char="F063"/>
            </w:r>
            <w:r>
              <w:t xml:space="preserve"> in service</w:t>
            </w:r>
          </w:p>
        </w:tc>
      </w:tr>
      <w:tr w:rsidR="007871F5" w14:paraId="369AAA09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E21E766" w14:textId="77777777"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WTDs</w:t>
            </w:r>
            <w:r>
              <w:tab/>
            </w:r>
            <w:r w:rsidR="007871F5"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14:paraId="65B6F324" w14:textId="77777777" w:rsidR="007871F5" w:rsidRDefault="00771A50" w:rsidP="00BF5C70">
            <w:r>
              <w:t>open</w:t>
            </w:r>
            <w:r>
              <w:sym w:font="Webdings" w:char="F063"/>
            </w:r>
            <w:r>
              <w:t xml:space="preserve">     closed</w:t>
            </w:r>
            <w:r>
              <w:sym w:font="Webdings" w:char="F063"/>
            </w:r>
          </w:p>
        </w:tc>
      </w:tr>
      <w:tr w:rsidR="007871F5" w14:paraId="3A3172ED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679DBB5" w14:textId="77777777" w:rsidR="007871F5" w:rsidRDefault="00771A50" w:rsidP="007A0B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>Status of stabilisers</w:t>
            </w:r>
            <w:r>
              <w:tab/>
              <w:t>informed</w:t>
            </w:r>
            <w:r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</w:tcPr>
          <w:p w14:paraId="6BEE90AF" w14:textId="77777777" w:rsidR="007871F5" w:rsidRDefault="00771A50" w:rsidP="00771A50">
            <w:r>
              <w:t>in</w:t>
            </w:r>
            <w:r w:rsidR="007871F5">
              <w:sym w:font="Webdings" w:char="F063"/>
            </w:r>
            <w:r w:rsidR="007871F5">
              <w:t xml:space="preserve">  </w:t>
            </w:r>
            <w:r>
              <w:t>out</w:t>
            </w:r>
            <w:r w:rsidR="007871F5">
              <w:sym w:font="Webdings" w:char="F063"/>
            </w:r>
            <w:r>
              <w:t xml:space="preserve">  manual mode</w:t>
            </w:r>
            <w:r>
              <w:sym w:font="Webdings" w:char="F063"/>
            </w:r>
            <w:r>
              <w:t xml:space="preserve">  auto mode</w:t>
            </w:r>
            <w:r>
              <w:sym w:font="Webdings" w:char="F063"/>
            </w:r>
          </w:p>
        </w:tc>
      </w:tr>
      <w:tr w:rsidR="007871F5" w14:paraId="7E6EAA6C" w14:textId="77777777" w:rsidTr="001647D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612B090" w14:textId="77777777" w:rsidR="007871F5" w:rsidRDefault="001647DD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Retention </w:t>
            </w:r>
            <w:r w:rsidR="007871F5">
              <w:t xml:space="preserve">Status of </w:t>
            </w:r>
            <w:r w:rsidR="00771A50">
              <w:t>grey water</w:t>
            </w:r>
            <w:r w:rsidR="007871F5">
              <w:tab/>
            </w:r>
            <w:r w:rsidR="00771A50">
              <w:t>informed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</w:tcPr>
          <w:p w14:paraId="660C3C35" w14:textId="77777777" w:rsidR="007871F5" w:rsidRDefault="001647DD" w:rsidP="00BF5C70">
            <w:r>
              <w:t>Tanks in use</w:t>
            </w:r>
          </w:p>
        </w:tc>
      </w:tr>
      <w:tr w:rsidR="000C5C08" w14:paraId="3011C375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68CE406" w14:textId="77777777" w:rsidR="000C5C08" w:rsidRDefault="001647DD" w:rsidP="000C5C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Retention </w:t>
            </w:r>
            <w:r w:rsidR="000C5C08">
              <w:t>Status of black water</w:t>
            </w:r>
            <w:r w:rsidR="000C5C08">
              <w:tab/>
              <w:t>informed</w:t>
            </w:r>
            <w:r w:rsidR="000C5C08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16149E83" w14:textId="77777777" w:rsidR="000C5C08" w:rsidRDefault="001647DD" w:rsidP="00BF5C70">
            <w:r>
              <w:t>Tanks in use</w:t>
            </w:r>
          </w:p>
        </w:tc>
      </w:tr>
      <w:tr w:rsidR="007871F5" w14:paraId="0D1141A5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4843E5D" w14:textId="77777777" w:rsidR="00C80CB4" w:rsidRDefault="00C80CB4" w:rsidP="00C80CB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0974C1">
              <w:rPr>
                <w:color w:val="FF0000"/>
              </w:rPr>
              <w:t>Status of active alarm ……………………………..informed</w:t>
            </w:r>
            <w:r w:rsidRPr="000974C1">
              <w:rPr>
                <w:color w:val="FF0000"/>
              </w:rPr>
              <w:sym w:font="Webdings" w:char="F063"/>
            </w:r>
            <w:r w:rsidRPr="000974C1">
              <w:rPr>
                <w:color w:val="FF0000"/>
              </w:rPr>
              <w:t xml:space="preserve">     </w:t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50594DFA" w14:textId="77777777" w:rsidR="00771A50" w:rsidRDefault="00771A50" w:rsidP="00BF5C70"/>
        </w:tc>
      </w:tr>
      <w:tr w:rsidR="007871F5" w14:paraId="5A752E34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A1017E7" w14:textId="77777777" w:rsidR="007871F5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130335">
              <w:t>St</w:t>
            </w:r>
            <w:r w:rsidR="00771A50">
              <w:t>at</w:t>
            </w:r>
            <w:r w:rsidRPr="00130335">
              <w:t>us</w:t>
            </w:r>
            <w:r w:rsidR="00771A50">
              <w:t xml:space="preserve"> of ballast operations</w:t>
            </w:r>
            <w:r>
              <w:tab/>
            </w:r>
            <w:r w:rsidR="00771A50">
              <w:t>inform</w:t>
            </w:r>
            <w:r>
              <w:t>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  <w:gridSpan w:val="2"/>
          </w:tcPr>
          <w:p w14:paraId="0671E545" w14:textId="77777777" w:rsidR="007871F5" w:rsidRDefault="007871F5" w:rsidP="00DA1E56"/>
        </w:tc>
      </w:tr>
      <w:tr w:rsidR="007871F5" w14:paraId="7D7D3938" w14:textId="77777777" w:rsidTr="001647D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C7A6C30" w14:textId="77777777"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Tanks in use consumption</w:t>
            </w:r>
            <w:r w:rsidR="007871F5">
              <w:tab/>
            </w:r>
            <w:r>
              <w:t>inform</w:t>
            </w:r>
            <w:r w:rsidR="007871F5" w:rsidRPr="002A56CA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14:paraId="5F954B79" w14:textId="77777777" w:rsidR="007871F5" w:rsidRDefault="007871F5" w:rsidP="00BF5C70"/>
        </w:tc>
      </w:tr>
      <w:tr w:rsidR="007871F5" w14:paraId="60730D32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809187F" w14:textId="77777777" w:rsidR="007871F5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F.O. tanks in use</w:t>
            </w:r>
            <w:r w:rsidR="007871F5">
              <w:tab/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14:paraId="1FFDA36B" w14:textId="77777777" w:rsidR="007871F5" w:rsidRDefault="000C5C08" w:rsidP="000C5C08">
            <w:r>
              <w:t>No:                                      Consumption:</w:t>
            </w:r>
          </w:p>
        </w:tc>
      </w:tr>
      <w:tr w:rsidR="007871F5" w14:paraId="36BC9A4B" w14:textId="77777777" w:rsidTr="001647D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8CE2263" w14:textId="77777777" w:rsidR="007871F5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D.O. tanks in use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570A0708" w14:textId="77777777" w:rsidR="007871F5" w:rsidRDefault="000C5C08" w:rsidP="00BF5C70">
            <w:r>
              <w:t>No:                                      Consumption:</w:t>
            </w:r>
          </w:p>
        </w:tc>
      </w:tr>
      <w:tr w:rsidR="007871F5" w14:paraId="3812018A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C7807A8" w14:textId="77777777" w:rsidR="007871F5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F.W. tanks in use</w:t>
            </w:r>
            <w:r w:rsidR="007871F5">
              <w:tab/>
            </w:r>
            <w:r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23CAC520" w14:textId="77777777" w:rsidR="007871F5" w:rsidRDefault="000C5C08" w:rsidP="00BF5C70">
            <w:r>
              <w:t>Centre:                               open</w:t>
            </w:r>
            <w:r>
              <w:sym w:font="Webdings" w:char="F063"/>
            </w:r>
            <w:r>
              <w:t xml:space="preserve">  close</w:t>
            </w:r>
            <w:r>
              <w:sym w:font="Webdings" w:char="F063"/>
            </w:r>
          </w:p>
          <w:p w14:paraId="34F9114D" w14:textId="77777777" w:rsidR="000C5C08" w:rsidRDefault="000C5C08" w:rsidP="00BF5C70">
            <w:r>
              <w:t>Port:                                    open</w:t>
            </w:r>
            <w:r>
              <w:sym w:font="Webdings" w:char="F063"/>
            </w:r>
            <w:r>
              <w:t xml:space="preserve">  close</w:t>
            </w:r>
            <w:r>
              <w:sym w:font="Webdings" w:char="F063"/>
            </w:r>
          </w:p>
          <w:p w14:paraId="5219850C" w14:textId="77777777" w:rsidR="000C5C08" w:rsidRDefault="000C5C08" w:rsidP="00BF5C70">
            <w:r>
              <w:t>Starboard:                          open</w:t>
            </w:r>
            <w:r>
              <w:sym w:font="Webdings" w:char="F063"/>
            </w:r>
            <w:r>
              <w:t xml:space="preserve">  close</w:t>
            </w:r>
            <w:r>
              <w:sym w:font="Webdings" w:char="F063"/>
            </w:r>
          </w:p>
        </w:tc>
      </w:tr>
      <w:tr w:rsidR="007871F5" w14:paraId="61D32394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5D1DF5B" w14:textId="77777777" w:rsidR="007871F5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Hot works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7F725FD3" w14:textId="77777777" w:rsidR="007871F5" w:rsidRDefault="007871F5" w:rsidP="00BF5C70">
            <w:r>
              <w:t xml:space="preserve">  </w:t>
            </w:r>
          </w:p>
        </w:tc>
      </w:tr>
      <w:tr w:rsidR="00E15F42" w14:paraId="4043C933" w14:textId="77777777" w:rsidTr="001647DD">
        <w:trPr>
          <w:trHeight w:val="168"/>
        </w:trPr>
        <w:tc>
          <w:tcPr>
            <w:tcW w:w="5238" w:type="dxa"/>
            <w:vMerge w:val="restart"/>
            <w:tcBorders>
              <w:top w:val="nil"/>
              <w:left w:val="nil"/>
              <w:bottom w:val="nil"/>
            </w:tcBorders>
          </w:tcPr>
          <w:p w14:paraId="7C08BD67" w14:textId="77777777" w:rsidR="00E15F42" w:rsidRPr="00F16965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Hourly visual checks of ER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2203" w:type="dxa"/>
            <w:shd w:val="clear" w:color="A6A6A6" w:themeColor="background1" w:themeShade="A6" w:fill="auto"/>
          </w:tcPr>
          <w:p w14:paraId="7657140C" w14:textId="77777777" w:rsidR="00E15F42" w:rsidRDefault="00E15F42" w:rsidP="00BF5C70">
            <w:r>
              <w:t>At:</w:t>
            </w:r>
          </w:p>
        </w:tc>
        <w:tc>
          <w:tcPr>
            <w:tcW w:w="2204" w:type="dxa"/>
            <w:shd w:val="clear" w:color="A6A6A6" w:themeColor="background1" w:themeShade="A6" w:fill="auto"/>
          </w:tcPr>
          <w:p w14:paraId="05A9057A" w14:textId="77777777" w:rsidR="00E15F42" w:rsidRDefault="00E15F42" w:rsidP="00BF5C70">
            <w:r>
              <w:t>At:</w:t>
            </w:r>
          </w:p>
        </w:tc>
      </w:tr>
      <w:tr w:rsidR="00E15F42" w14:paraId="406C3388" w14:textId="77777777" w:rsidTr="001647DD">
        <w:trPr>
          <w:trHeight w:val="168"/>
        </w:trPr>
        <w:tc>
          <w:tcPr>
            <w:tcW w:w="5238" w:type="dxa"/>
            <w:vMerge/>
            <w:tcBorders>
              <w:top w:val="nil"/>
              <w:left w:val="nil"/>
              <w:bottom w:val="nil"/>
            </w:tcBorders>
          </w:tcPr>
          <w:p w14:paraId="038A85FE" w14:textId="77777777" w:rsidR="00E15F42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</w:p>
        </w:tc>
        <w:tc>
          <w:tcPr>
            <w:tcW w:w="2203" w:type="dxa"/>
            <w:shd w:val="clear" w:color="A6A6A6" w:themeColor="background1" w:themeShade="A6" w:fill="auto"/>
          </w:tcPr>
          <w:p w14:paraId="74431A4A" w14:textId="77777777" w:rsidR="00E15F42" w:rsidRDefault="00E15F42" w:rsidP="00BF5C70">
            <w:r>
              <w:t>At:</w:t>
            </w:r>
          </w:p>
        </w:tc>
        <w:tc>
          <w:tcPr>
            <w:tcW w:w="2204" w:type="dxa"/>
            <w:shd w:val="clear" w:color="A6A6A6" w:themeColor="background1" w:themeShade="A6" w:fill="auto"/>
          </w:tcPr>
          <w:p w14:paraId="4D5491DA" w14:textId="77777777" w:rsidR="00E15F42" w:rsidRDefault="00E15F42" w:rsidP="00BF5C70">
            <w:r>
              <w:t>At:</w:t>
            </w:r>
          </w:p>
        </w:tc>
      </w:tr>
      <w:tr w:rsidR="007871F5" w14:paraId="0AC281D6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201D25C" w14:textId="77777777" w:rsidR="007871F5" w:rsidRPr="00E52F9E" w:rsidRDefault="007871F5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E52F9E">
              <w:t>E</w:t>
            </w:r>
            <w:r w:rsidR="00E15F42">
              <w:t>quipment out of service</w:t>
            </w:r>
            <w:r>
              <w:tab/>
            </w:r>
            <w:r w:rsidR="00E15F42"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6AEFC0C0" w14:textId="77777777" w:rsidR="007871F5" w:rsidRDefault="007871F5" w:rsidP="00BF5C70"/>
        </w:tc>
      </w:tr>
      <w:tr w:rsidR="00F72BF8" w14:paraId="27573E37" w14:textId="77777777" w:rsidTr="001647D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2FB9A6C" w14:textId="77777777" w:rsidR="00F72BF8" w:rsidRDefault="00E15F42" w:rsidP="000974C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69601D77" w14:textId="77777777" w:rsidR="00F72BF8" w:rsidRDefault="00F72BF8" w:rsidP="000974C1"/>
        </w:tc>
      </w:tr>
    </w:tbl>
    <w:p w14:paraId="58FA919B" w14:textId="77777777" w:rsidR="001647DD" w:rsidRDefault="001647DD" w:rsidP="001647DD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Pr="00E614DA">
        <w:rPr>
          <w:b/>
          <w:lang w:val="en-US"/>
        </w:rPr>
        <w:t>aution:</w:t>
      </w:r>
      <w:r>
        <w:rPr>
          <w:lang w:val="en-US"/>
        </w:rPr>
        <w:tab/>
        <w:t xml:space="preserve">The Master shall report to relevant Authorities and Company any </w:t>
      </w:r>
      <w:proofErr w:type="spellStart"/>
      <w:r>
        <w:rPr>
          <w:lang w:val="en-US"/>
        </w:rPr>
        <w:t>HazOcc</w:t>
      </w:r>
      <w:proofErr w:type="spellEnd"/>
      <w:r>
        <w:rPr>
          <w:lang w:val="en-US"/>
        </w:rPr>
        <w:t xml:space="preserve"> affecting the ship safety or situations that may lead to pollution</w:t>
      </w:r>
    </w:p>
    <w:p w14:paraId="1FB0C80B" w14:textId="77777777" w:rsidR="00623FBC" w:rsidRDefault="001647DD" w:rsidP="001647DD">
      <w:pPr>
        <w:pStyle w:val="WarningBody"/>
      </w:pPr>
      <w:r w:rsidRPr="001647DD">
        <w:rPr>
          <w:b/>
        </w:rPr>
        <w:t>Caution:</w:t>
      </w:r>
      <w:r>
        <w:t xml:space="preserve"> </w:t>
      </w:r>
      <w:r w:rsidRPr="001647DD">
        <w:rPr>
          <w:color w:val="FF0000"/>
        </w:rPr>
        <w:t xml:space="preserve">Use of evaporator/ Osmosis and or Grey/Black water is not permitted at                           anchorage including Ballast Operations </w:t>
      </w:r>
    </w:p>
    <w:p w14:paraId="5BF71494" w14:textId="77777777" w:rsidR="001647DD" w:rsidRDefault="001647DD" w:rsidP="00BF5C70"/>
    <w:p w14:paraId="30DD4FA7" w14:textId="77777777" w:rsidR="001647DD" w:rsidRDefault="001647DD" w:rsidP="00BF5C70"/>
    <w:p w14:paraId="354583FF" w14:textId="77777777" w:rsidR="001647DD" w:rsidRDefault="001647DD" w:rsidP="00BF5C70"/>
    <w:p w14:paraId="46E5AEAB" w14:textId="77777777" w:rsidR="001647DD" w:rsidRDefault="001647DD" w:rsidP="00BF5C70"/>
    <w:p w14:paraId="746AB893" w14:textId="77777777" w:rsidR="001647DD" w:rsidRDefault="001647DD" w:rsidP="00BF5C70"/>
    <w:p w14:paraId="3D37D32B" w14:textId="77777777" w:rsidR="00466E1F" w:rsidRDefault="00E7355B" w:rsidP="00BF5C70">
      <w:r>
        <w:t xml:space="preserve">Handing over </w:t>
      </w:r>
      <w:r w:rsidR="00E15F42">
        <w:t>E</w:t>
      </w:r>
      <w:r>
        <w:t>OO</w:t>
      </w:r>
      <w:r w:rsidR="00A82812">
        <w:t>W: ...........................................</w:t>
      </w:r>
      <w:r w:rsidR="00A82812">
        <w:tab/>
      </w:r>
      <w:r w:rsidR="00A82812">
        <w:tab/>
      </w:r>
      <w:r>
        <w:t xml:space="preserve">Relieving </w:t>
      </w:r>
      <w:r w:rsidR="00E15F42">
        <w:t>E</w:t>
      </w:r>
      <w:r>
        <w:t>OOW</w:t>
      </w:r>
      <w:r w:rsidR="00A82812">
        <w:t>: ......................................</w:t>
      </w:r>
    </w:p>
    <w:sectPr w:rsidR="00466E1F" w:rsidSect="00260B63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729" w:right="1020" w:bottom="851" w:left="1440" w:header="180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4EA6B" w14:textId="77777777" w:rsidR="007630EB" w:rsidRDefault="007630EB" w:rsidP="003A4324">
      <w:r>
        <w:separator/>
      </w:r>
    </w:p>
  </w:endnote>
  <w:endnote w:type="continuationSeparator" w:id="0">
    <w:p w14:paraId="6651FC03" w14:textId="77777777" w:rsidR="007630EB" w:rsidRDefault="007630EB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1647DD" w:rsidRPr="0089041A" w14:paraId="18260FB8" w14:textId="77777777" w:rsidTr="000C5A31">
      <w:tc>
        <w:tcPr>
          <w:tcW w:w="567" w:type="dxa"/>
          <w:shd w:val="clear" w:color="auto" w:fill="auto"/>
        </w:tcPr>
        <w:p w14:paraId="6B7AFC9E" w14:textId="77777777" w:rsidR="001647DD" w:rsidRPr="0089041A" w:rsidRDefault="001647DD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683A1AE1" w14:textId="77777777" w:rsidR="001647DD" w:rsidRPr="0089041A" w:rsidRDefault="001647DD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0735C17E" w14:textId="77777777" w:rsidR="001647DD" w:rsidRDefault="001647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1647DD" w:rsidRPr="00E87953" w14:paraId="767C4BF0" w14:textId="77777777" w:rsidTr="000974C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7AFDAE56" w14:textId="49D0DFF2" w:rsidR="001647DD" w:rsidRPr="00E87953" w:rsidRDefault="001647DD" w:rsidP="00A7707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3C4B55">
            <w:rPr>
              <w:rFonts w:cs="Arial"/>
              <w:spacing w:val="-2"/>
              <w:sz w:val="18"/>
            </w:rPr>
            <w:t>1</w:t>
          </w:r>
          <w:r>
            <w:rPr>
              <w:rFonts w:cs="Arial"/>
              <w:spacing w:val="-2"/>
              <w:sz w:val="18"/>
            </w:rPr>
            <w:t>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</w:t>
          </w:r>
          <w:r w:rsidR="00A7707D">
            <w:rPr>
              <w:rFonts w:cs="Arial"/>
              <w:spacing w:val="-2"/>
              <w:sz w:val="18"/>
            </w:rPr>
            <w:t>10</w:t>
          </w:r>
          <w:r>
            <w:rPr>
              <w:rFonts w:cs="Arial"/>
              <w:spacing w:val="-2"/>
              <w:sz w:val="18"/>
            </w:rPr>
            <w:t>/21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7116104D" w14:textId="77777777" w:rsidR="001647DD" w:rsidRPr="00E87953" w:rsidRDefault="001647DD" w:rsidP="000974C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A7707D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1</w:t>
          </w:r>
        </w:p>
      </w:tc>
    </w:tr>
  </w:tbl>
  <w:p w14:paraId="197A1AAB" w14:textId="77777777" w:rsidR="001647DD" w:rsidRDefault="00164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DBEC" w14:textId="77777777" w:rsidR="007630EB" w:rsidRDefault="007630EB" w:rsidP="003A4324">
      <w:r>
        <w:separator/>
      </w:r>
    </w:p>
  </w:footnote>
  <w:footnote w:type="continuationSeparator" w:id="0">
    <w:p w14:paraId="37CAE9B7" w14:textId="77777777" w:rsidR="007630EB" w:rsidRDefault="007630EB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495"/>
      <w:gridCol w:w="1952"/>
    </w:tblGrid>
    <w:tr w:rsidR="001647DD" w:rsidRPr="005B54E8" w14:paraId="15C9E232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00C7C299" w14:textId="77777777" w:rsidR="001647DD" w:rsidRPr="005B54E8" w:rsidRDefault="001647DD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0A8119DD" w14:textId="77777777" w:rsidR="001647DD" w:rsidRPr="005B54E8" w:rsidRDefault="001647DD" w:rsidP="00B80966">
          <w:pPr>
            <w:pStyle w:val="SectionHeading"/>
          </w:pPr>
          <w:r>
            <w:t>COMPANY</w:t>
          </w:r>
        </w:p>
      </w:tc>
    </w:tr>
  </w:tbl>
  <w:p w14:paraId="7CF74BE6" w14:textId="77777777" w:rsidR="001647DD" w:rsidRDefault="001647DD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160"/>
      <w:gridCol w:w="1287"/>
    </w:tblGrid>
    <w:tr w:rsidR="001647DD" w:rsidRPr="00B80966" w14:paraId="1A7E3254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2C29774C" w14:textId="0E518220" w:rsidR="001647DD" w:rsidRPr="00B80966" w:rsidRDefault="001647DD" w:rsidP="00C80CB4">
          <w:pPr>
            <w:pStyle w:val="SectionHeading"/>
          </w:pPr>
          <w:r>
            <w:t>saf28</w:t>
          </w:r>
          <w:r w:rsidR="00E74ADC">
            <w:t>B</w:t>
          </w:r>
          <w:r>
            <w:t xml:space="preserve"> (</w:t>
          </w:r>
          <w:r w:rsidR="000B7D6B">
            <w:t>Fleet</w:t>
          </w:r>
          <w:r>
            <w:t xml:space="preserve">) – engine </w:t>
          </w:r>
          <w:proofErr w:type="gramStart"/>
          <w:r>
            <w:t>ANCHOR  handover</w:t>
          </w:r>
          <w:proofErr w:type="gramEnd"/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14:paraId="4DD25E73" w14:textId="77777777" w:rsidR="001647DD" w:rsidRPr="00B80966" w:rsidRDefault="001647DD" w:rsidP="006C376E">
          <w:pPr>
            <w:pStyle w:val="SectionHeading"/>
          </w:pPr>
        </w:p>
      </w:tc>
    </w:tr>
  </w:tbl>
  <w:p w14:paraId="765D7E1B" w14:textId="77777777" w:rsidR="001647DD" w:rsidRDefault="001647DD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974C1"/>
    <w:rsid w:val="000A52B9"/>
    <w:rsid w:val="000B09A1"/>
    <w:rsid w:val="000B7D6B"/>
    <w:rsid w:val="000C1CAF"/>
    <w:rsid w:val="000C28C0"/>
    <w:rsid w:val="000C34AB"/>
    <w:rsid w:val="000C55C3"/>
    <w:rsid w:val="000C5A31"/>
    <w:rsid w:val="000C5C08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0DA6"/>
    <w:rsid w:val="00141EE1"/>
    <w:rsid w:val="00143CE5"/>
    <w:rsid w:val="00146A17"/>
    <w:rsid w:val="001508F1"/>
    <w:rsid w:val="00160141"/>
    <w:rsid w:val="0016096E"/>
    <w:rsid w:val="001647DD"/>
    <w:rsid w:val="001702BE"/>
    <w:rsid w:val="001722B7"/>
    <w:rsid w:val="00173789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51089"/>
    <w:rsid w:val="00260B63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50D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176ED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4B55"/>
    <w:rsid w:val="003C7EDF"/>
    <w:rsid w:val="003D0487"/>
    <w:rsid w:val="003D4088"/>
    <w:rsid w:val="003E129D"/>
    <w:rsid w:val="003E5A45"/>
    <w:rsid w:val="003E7C25"/>
    <w:rsid w:val="003F0DA0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526D6C"/>
    <w:rsid w:val="00533589"/>
    <w:rsid w:val="00535399"/>
    <w:rsid w:val="00542398"/>
    <w:rsid w:val="00553270"/>
    <w:rsid w:val="005825F9"/>
    <w:rsid w:val="00593B6D"/>
    <w:rsid w:val="005A5889"/>
    <w:rsid w:val="005B1576"/>
    <w:rsid w:val="005B4B19"/>
    <w:rsid w:val="005D1F7E"/>
    <w:rsid w:val="005D351D"/>
    <w:rsid w:val="00623A25"/>
    <w:rsid w:val="00623FBC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06E1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30EB"/>
    <w:rsid w:val="007643CE"/>
    <w:rsid w:val="00771A50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E1434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74117"/>
    <w:rsid w:val="009A571A"/>
    <w:rsid w:val="009A7190"/>
    <w:rsid w:val="009C061F"/>
    <w:rsid w:val="009E074C"/>
    <w:rsid w:val="009F20D4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7707D"/>
    <w:rsid w:val="00A80559"/>
    <w:rsid w:val="00A82812"/>
    <w:rsid w:val="00A835DE"/>
    <w:rsid w:val="00A8461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52177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0CB4"/>
    <w:rsid w:val="00C863D5"/>
    <w:rsid w:val="00C87BE3"/>
    <w:rsid w:val="00C90495"/>
    <w:rsid w:val="00C93D82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3C5C"/>
    <w:rsid w:val="00DB539C"/>
    <w:rsid w:val="00DC4C94"/>
    <w:rsid w:val="00DC6C29"/>
    <w:rsid w:val="00DD571E"/>
    <w:rsid w:val="00DD630E"/>
    <w:rsid w:val="00DE77A3"/>
    <w:rsid w:val="00E14421"/>
    <w:rsid w:val="00E15F42"/>
    <w:rsid w:val="00E26F41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74ADC"/>
    <w:rsid w:val="00E80FE9"/>
    <w:rsid w:val="00E83042"/>
    <w:rsid w:val="00E93A23"/>
    <w:rsid w:val="00E94564"/>
    <w:rsid w:val="00E9514E"/>
    <w:rsid w:val="00EB5087"/>
    <w:rsid w:val="00EE43D8"/>
    <w:rsid w:val="00F038F5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865"/>
    <w:rsid w:val="00FA1FE2"/>
    <w:rsid w:val="00FA2E33"/>
    <w:rsid w:val="00FD351C"/>
    <w:rsid w:val="00FD3717"/>
    <w:rsid w:val="00FD43EE"/>
    <w:rsid w:val="00FE1C8A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60F3D5"/>
  <w15:docId w15:val="{24C2F9BF-781C-4D23-B947-9D84D8EB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C6244-3AE7-47EB-8F13-0B18E0A6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6</cp:revision>
  <cp:lastPrinted>2014-06-17T18:34:00Z</cp:lastPrinted>
  <dcterms:created xsi:type="dcterms:W3CDTF">2021-10-25T15:23:00Z</dcterms:created>
  <dcterms:modified xsi:type="dcterms:W3CDTF">2021-11-04T16:35:00Z</dcterms:modified>
</cp:coreProperties>
</file>