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21" w:rsidRDefault="00E14421" w:rsidP="00E14421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</w:r>
      <w:r w:rsidR="00BB7745">
        <w:rPr>
          <w:lang w:val="en-US"/>
        </w:rPr>
        <w:tab/>
        <w:t>Port</w:t>
      </w:r>
      <w:r>
        <w:rPr>
          <w:lang w:val="en-US"/>
        </w:rPr>
        <w:t>:</w:t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7F6FAD">
        <w:t>OOW</w:t>
      </w:r>
      <w:r w:rsidR="007F6FAD" w:rsidRPr="007F6FAD">
        <w:t xml:space="preserve"> consider the vessel to be in danger, he may refuse to take over the watch until the Master has been advised and his instructions are received.  The </w:t>
      </w:r>
      <w:r w:rsidR="007F6FAD">
        <w:t xml:space="preserve">handing over OOW </w:t>
      </w:r>
      <w:r w:rsidR="007F6FAD" w:rsidRPr="007F6FAD">
        <w:t xml:space="preserve">should not hand over the watch to the relieving 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Master</w:t>
      </w:r>
    </w:p>
    <w:p w:rsidR="003E5A45" w:rsidRDefault="00801F0E" w:rsidP="003E5A45">
      <w:pPr>
        <w:pStyle w:val="ListHeading"/>
        <w:rPr>
          <w:szCs w:val="36"/>
        </w:rPr>
      </w:pPr>
      <w:r>
        <w:rPr>
          <w:szCs w:val="36"/>
        </w:rPr>
        <w:t>Anchor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:rsidTr="007F59CE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01F0E" w:rsidP="00801F0E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Anchors/ shackles in use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F3DD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Regular inspection</w:t>
            </w:r>
            <w:r w:rsidR="00B23008" w:rsidRPr="00B23008">
              <w:t>s</w:t>
            </w:r>
            <w:r>
              <w:t xml:space="preserve"> of anchor equipment</w:t>
            </w:r>
            <w:r>
              <w:tab/>
            </w:r>
            <w:r w:rsidR="00B23008">
              <w:t>in place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F3DD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Depth/ nature of holding ground &amp; relief</w:t>
            </w:r>
            <w:r w:rsidR="00B23008">
              <w:tab/>
            </w:r>
            <w:r>
              <w:t>briefed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F3DD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ME status &amp; availability for emergency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23008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F3DD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Captain’</w:t>
            </w:r>
            <w:r w:rsidR="00B23008" w:rsidRPr="00B23008">
              <w:t>s</w:t>
            </w:r>
            <w:r>
              <w:t xml:space="preserve"> standing &amp;any other special orders</w:t>
            </w:r>
            <w:r>
              <w:tab/>
              <w:t>briefe</w:t>
            </w:r>
            <w:r w:rsidR="007871F5">
              <w:t>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F3DD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Special port regulations</w:t>
            </w:r>
            <w:r w:rsidR="007871F5">
              <w:tab/>
            </w:r>
            <w:r>
              <w:t>brief</w:t>
            </w:r>
            <w:r w:rsidR="007871F5">
              <w:t>ed</w:t>
            </w:r>
            <w:r>
              <w:t xml:space="preserve"> &amp;complied with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F3DD1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Tender platform</w:t>
            </w:r>
            <w:r w:rsidR="00B23008">
              <w:t>s</w:t>
            </w:r>
            <w:r>
              <w:t>/ gangways rigged</w:t>
            </w:r>
            <w:r w:rsidR="007871F5">
              <w:tab/>
            </w:r>
            <w:r w:rsidR="00B23008">
              <w:t>check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DA1E56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Information re </w:t>
            </w:r>
            <w:r w:rsidR="00BF3DD1">
              <w:t>Officials/ Pilot onboard</w:t>
            </w:r>
            <w:r w:rsidR="00606C50">
              <w:tab/>
            </w:r>
            <w:r>
              <w:t>exchang</w:t>
            </w:r>
            <w:r w:rsidR="00606C50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606C50" w:rsidRDefault="00606C50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Vessel’</w:t>
            </w:r>
            <w:r w:rsidR="008379B6">
              <w:t>s</w:t>
            </w:r>
            <w:r>
              <w:t xml:space="preserve"> position within the predetermined anchor swing circle frequently</w:t>
            </w:r>
            <w:r w:rsidR="007871F5">
              <w:tab/>
            </w:r>
            <w:r>
              <w:t>checked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Pr="00C03D7D" w:rsidRDefault="00C03D7D" w:rsidP="00C03D7D">
            <w:pPr>
              <w:rPr>
                <w:sz w:val="20"/>
              </w:rPr>
            </w:pPr>
            <w:r>
              <w:rPr>
                <w:sz w:val="20"/>
              </w:rPr>
              <w:t xml:space="preserve">By: </w:t>
            </w:r>
            <w:r w:rsidRPr="00C03D7D">
              <w:rPr>
                <w:sz w:val="20"/>
              </w:rPr>
              <w:t>visual / radar bearings, radar distances, guard rings, GPS alarms, echo sounder depth</w:t>
            </w:r>
          </w:p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ECDIS:</w:t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C03D7D" w:rsidP="00DA1E56">
            <w:r>
              <w:t>ENC</w:t>
            </w:r>
            <w:r>
              <w:sym w:font="Webdings" w:char="F063"/>
            </w:r>
            <w:r>
              <w:t xml:space="preserve">  </w:t>
            </w:r>
            <w:r w:rsidR="00E86D07">
              <w:t xml:space="preserve">      </w:t>
            </w:r>
            <w:r>
              <w:t>Raster</w:t>
            </w:r>
            <w:r>
              <w:sym w:font="Webdings" w:char="F063"/>
            </w:r>
          </w:p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Display mode</w:t>
            </w:r>
            <w:r w:rsidR="007871F5">
              <w:tab/>
            </w:r>
            <w:r>
              <w:t>adjust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Status of Radar/ARPA/AIS overlay</w:t>
            </w:r>
            <w:r w:rsidR="007871F5">
              <w:tab/>
            </w:r>
            <w:r>
              <w:t>verified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C03D7D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GPS not in dead reckoning mode</w:t>
            </w:r>
            <w:r>
              <w:tab/>
              <w:t>confirmed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C03D7D" w:rsidP="00E86D07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WGS 84 datum</w:t>
            </w:r>
            <w:r w:rsidR="007871F5">
              <w:tab/>
            </w:r>
            <w:r w:rsidR="00E86D07">
              <w:t>used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E52F9E" w:rsidRDefault="00824655" w:rsidP="00E86D07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S</w:t>
            </w:r>
            <w:r w:rsidR="00E86D07">
              <w:t xml:space="preserve">afety </w:t>
            </w:r>
            <w:r>
              <w:t>s</w:t>
            </w:r>
            <w:r w:rsidR="00E86D07">
              <w:t>ettings correct</w:t>
            </w:r>
            <w:r w:rsidR="007871F5">
              <w:tab/>
            </w:r>
            <w:r w:rsidR="00E86D07">
              <w:t>verifie</w:t>
            </w:r>
            <w:r>
              <w:t>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E86D07" w:rsidP="00E86D07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Alarms</w:t>
            </w:r>
            <w:r w:rsidR="00F72BF8">
              <w:tab/>
            </w:r>
            <w:r>
              <w:t>set &amp;not mute</w:t>
            </w:r>
            <w:r w:rsidR="00F72BF8">
              <w:t>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Efficient lookout</w:t>
            </w:r>
            <w:r w:rsidR="00F72BF8">
              <w:tab/>
            </w:r>
            <w:r>
              <w:t>maintain</w:t>
            </w:r>
            <w:r w:rsidR="00F72BF8">
              <w:t>ed</w:t>
            </w:r>
            <w:r w:rsidR="00F72BF8">
              <w:sym w:font="Webdings" w:char="F063"/>
            </w:r>
          </w:p>
          <w:p w:rsidR="00E86D07" w:rsidRPr="00C16A98" w:rsidRDefault="00E86D07" w:rsidP="00E86D07">
            <w:pPr>
              <w:pStyle w:val="Note"/>
              <w:rPr>
                <w:sz w:val="18"/>
                <w:szCs w:val="18"/>
              </w:rPr>
            </w:pPr>
            <w:r w:rsidRPr="00C16A98">
              <w:rPr>
                <w:b/>
                <w:sz w:val="18"/>
                <w:szCs w:val="18"/>
              </w:rPr>
              <w:t>Note:</w:t>
            </w:r>
            <w:r w:rsidRPr="00C16A98">
              <w:rPr>
                <w:sz w:val="18"/>
                <w:szCs w:val="18"/>
              </w:rPr>
              <w:t xml:space="preserve">  During darkness a qualified lookout on watch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Appropriate light</w:t>
            </w:r>
            <w:r w:rsidR="00CC2E91" w:rsidRPr="00CC2E91">
              <w:t>s</w:t>
            </w:r>
            <w:r>
              <w:t xml:space="preserve"> and shapes</w:t>
            </w:r>
            <w:r w:rsidR="00F72BF8">
              <w:tab/>
            </w:r>
            <w:r>
              <w:t>shown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Appropriate </w:t>
            </w:r>
            <w:r w:rsidR="00CC2E91">
              <w:t>s</w:t>
            </w:r>
            <w:r>
              <w:t>ound signals</w:t>
            </w:r>
            <w:r w:rsidR="00F72BF8">
              <w:tab/>
            </w:r>
            <w:r>
              <w:t>sound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Meteo</w:t>
            </w:r>
            <w:r w:rsidR="00CC2E91" w:rsidRPr="00CC2E91">
              <w:t>r</w:t>
            </w:r>
            <w:r>
              <w:t>ological, tidal and sea conditions</w:t>
            </w:r>
            <w:r w:rsidR="00F72BF8">
              <w:tab/>
            </w:r>
            <w:r>
              <w:t>observ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40362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F9132C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If visibility d</w:t>
            </w:r>
            <w:r w:rsidR="00CC2E91">
              <w:t>e</w:t>
            </w:r>
            <w:r>
              <w:t>teriorates, Captain</w:t>
            </w:r>
            <w:r w:rsidR="00F40362">
              <w:tab/>
            </w:r>
            <w:r>
              <w:t>inform</w:t>
            </w:r>
            <w:r w:rsidR="00CC2E91">
              <w:t>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F40362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9F20D4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If vessel drags anchor: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E86D07" w:rsidP="00E86D07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Captain</w:t>
            </w:r>
            <w:r w:rsidR="00CC2E91">
              <w:tab/>
              <w:t>in</w:t>
            </w:r>
            <w:r>
              <w:t>formed</w:t>
            </w:r>
            <w:r w:rsidR="00CC2E91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Pr="002F20AF" w:rsidRDefault="00E86D07" w:rsidP="00E86D07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Necessary actions</w:t>
            </w:r>
            <w:r w:rsidR="002F20AF">
              <w:tab/>
            </w:r>
            <w:r>
              <w:t>taken</w:t>
            </w:r>
            <w:r w:rsidR="002F20AF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E86D07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E86D07" w:rsidRDefault="00E86D07" w:rsidP="00E86D0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VHF channels (16, port, VTS, tenders) </w:t>
            </w:r>
            <w:r>
              <w:tab/>
              <w:t>monitored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E86D07" w:rsidRPr="00F9132C" w:rsidRDefault="00E86D07" w:rsidP="00110FE0"/>
        </w:tc>
      </w:tr>
      <w:tr w:rsidR="00C16A9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16A98" w:rsidRPr="00C16A98" w:rsidRDefault="00C16A98" w:rsidP="00C16A98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C16A98">
              <w:t>Traffic and ships in vicinity monitored for safe passing/swinging distances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16A98" w:rsidRPr="00F9132C" w:rsidRDefault="00C16A98" w:rsidP="00110FE0"/>
        </w:tc>
      </w:tr>
      <w:tr w:rsidR="00C16A9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16A98" w:rsidRDefault="00C16A98" w:rsidP="00C16A9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Gangways</w:t>
            </w:r>
            <w:r>
              <w:tab/>
              <w:t>manned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16A98" w:rsidRPr="00F9132C" w:rsidRDefault="00C16A98" w:rsidP="00110FE0"/>
        </w:tc>
      </w:tr>
      <w:tr w:rsidR="00C16A9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16A98" w:rsidRDefault="00C16A98" w:rsidP="00C16A9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 xml:space="preserve">communications </w:t>
            </w:r>
            <w:r>
              <w:tab/>
              <w:t>established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16A98" w:rsidRPr="00F9132C" w:rsidRDefault="00C16A98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C16A98" w:rsidP="00C16A9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Shore party</w:t>
            </w:r>
            <w:r w:rsidR="000B2230">
              <w:tab/>
            </w:r>
            <w:r>
              <w:t>mann</w:t>
            </w:r>
            <w:r w:rsidR="000B2230">
              <w:t>ed</w:t>
            </w:r>
            <w:r w:rsidR="000B2230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C16A98" w:rsidP="00C16A9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 xml:space="preserve">communications </w:t>
            </w:r>
            <w:r>
              <w:tab/>
              <w:t>established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</w:tbl>
    <w:p w:rsidR="00E52F9E" w:rsidRDefault="00801F0E" w:rsidP="00E52F9E">
      <w:pPr>
        <w:pStyle w:val="ListHeading"/>
        <w:rPr>
          <w:szCs w:val="36"/>
        </w:rPr>
      </w:pPr>
      <w:r>
        <w:rPr>
          <w:szCs w:val="36"/>
        </w:rPr>
        <w:lastRenderedPageBreak/>
        <w:t>Anchor</w:t>
      </w:r>
      <w:r w:rsidR="00E52F9E">
        <w:rPr>
          <w:szCs w:val="36"/>
        </w:rPr>
        <w:t xml:space="preserve"> watch handover checks (continued)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5238"/>
        <w:gridCol w:w="4410"/>
      </w:tblGrid>
      <w:tr w:rsidR="007871F5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871F5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871F5" w:rsidRPr="00593B6D" w:rsidRDefault="007871F5" w:rsidP="00660286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9F20D4" w:rsidRDefault="00C16A98" w:rsidP="00C16A9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Number &amp;operation of ship-shore tenders</w:t>
            </w:r>
            <w:r>
              <w:tab/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5A595D"/>
        </w:tc>
      </w:tr>
      <w:tr w:rsidR="00C16A98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16A98" w:rsidRPr="002F1D03" w:rsidRDefault="00C16A98" w:rsidP="00C16A9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Stability, ballasting, trim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C16A98" w:rsidRDefault="00C16A98" w:rsidP="00110FE0"/>
        </w:tc>
      </w:tr>
      <w:tr w:rsidR="00C16A98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16A98" w:rsidRPr="002F1D03" w:rsidRDefault="00C16A98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Craft </w:t>
            </w:r>
            <w:r w:rsidR="00734D0E">
              <w:t xml:space="preserve">lying </w:t>
            </w:r>
            <w:r>
              <w:t>alongside</w:t>
            </w:r>
            <w:r>
              <w:tab/>
            </w:r>
            <w:r w:rsidR="00734D0E">
              <w:t>check</w:t>
            </w:r>
            <w:r>
              <w:t>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C16A98" w:rsidRDefault="00C16A98" w:rsidP="00110FE0"/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Bunkering operations</w:t>
            </w:r>
            <w:r>
              <w:tab/>
              <w:t>in progress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110FE0">
            <w:r>
              <w:t>FO/ DO:</w:t>
            </w:r>
          </w:p>
          <w:p w:rsidR="00734D0E" w:rsidRDefault="00734D0E" w:rsidP="00110FE0">
            <w:r>
              <w:t>FW:</w:t>
            </w:r>
          </w:p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Permits to work in force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110FE0"/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Environmental operations/ restrictions 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110FE0"/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Bridge alarms </w:t>
            </w:r>
            <w:r>
              <w:tab/>
              <w:t>verified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110FE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F9132C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Fire alarms, i</w:t>
            </w:r>
            <w:r w:rsidR="000B2230" w:rsidRPr="002F1D03">
              <w:t>solated loops or detectors</w:t>
            </w:r>
            <w:r w:rsidR="000B2230">
              <w:tab/>
              <w:t>checked</w:t>
            </w:r>
            <w:r w:rsidR="000B2230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110FE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B04A50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All onboard times</w:t>
            </w:r>
            <w:r w:rsidR="005A5889">
              <w:tab/>
            </w:r>
            <w:r w:rsidR="00547DF7"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734D0E" w:rsidP="00BF5C70">
            <w:r>
              <w:t>Passengers:</w:t>
            </w:r>
          </w:p>
          <w:p w:rsidR="00734D0E" w:rsidRDefault="00734D0E" w:rsidP="00BF5C70">
            <w:r>
              <w:t>Crew:</w:t>
            </w:r>
          </w:p>
          <w:p w:rsidR="00734D0E" w:rsidRDefault="00734D0E" w:rsidP="00BF5C70">
            <w:r>
              <w:t>Last tour:</w:t>
            </w:r>
          </w:p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Departure time/ engines to be ready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BF5C70"/>
        </w:tc>
      </w:tr>
      <w:tr w:rsidR="00734D0E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34D0E" w:rsidRPr="002F1D03" w:rsidRDefault="00734D0E" w:rsidP="00734D0E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Deadlights/ storm covers status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34D0E" w:rsidRDefault="00734D0E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B04A50" w:rsidRDefault="00547DF7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Status of pools and </w:t>
            </w:r>
            <w:proofErr w:type="spellStart"/>
            <w:r w:rsidRPr="002F1D03">
              <w:t>jacuzzis</w:t>
            </w:r>
            <w:proofErr w:type="spellEnd"/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145331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145331">
              <w:t>Security status and measures</w:t>
            </w:r>
            <w:r>
              <w:tab/>
            </w:r>
            <w:r w:rsidRPr="00145331">
              <w:t>in place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C27B2F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BWNAS</w:t>
            </w:r>
            <w:r w:rsidR="005A5889">
              <w:tab/>
            </w:r>
            <w:r>
              <w:t>checked &amp;operational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E7355B" w:rsidRDefault="005A5889" w:rsidP="00E7355B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</w:tbl>
    <w:p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244787">
        <w:rPr>
          <w:lang w:val="en-US"/>
        </w:rPr>
        <w:t xml:space="preserve">The Master shall report to relevant Authorities and Company any </w:t>
      </w:r>
      <w:proofErr w:type="spellStart"/>
      <w:r w:rsidR="00244787">
        <w:rPr>
          <w:lang w:val="en-US"/>
        </w:rPr>
        <w:t>HazOcc</w:t>
      </w:r>
      <w:proofErr w:type="spellEnd"/>
      <w:r w:rsidR="00244787">
        <w:rPr>
          <w:lang w:val="en-US"/>
        </w:rPr>
        <w:t xml:space="preserve"> affecting the ship safety or situations that may lead to pollution</w:t>
      </w:r>
    </w:p>
    <w:p w:rsidR="00F40362" w:rsidRDefault="00F40362" w:rsidP="00BF5C70"/>
    <w:p w:rsidR="00F40362" w:rsidRDefault="00F40362" w:rsidP="00BF5C70"/>
    <w:p w:rsidR="00466E1F" w:rsidRDefault="00E7355B" w:rsidP="00BF5C70">
      <w:r>
        <w:t>Handing over OO</w:t>
      </w:r>
      <w:r w:rsidR="00A82812">
        <w:t>W: ...........................................</w:t>
      </w:r>
      <w:r w:rsidR="00A82812">
        <w:tab/>
      </w:r>
      <w:r w:rsidR="00A82812">
        <w:tab/>
      </w:r>
      <w:r w:rsidR="00A82812">
        <w:tab/>
      </w:r>
      <w:r>
        <w:t>Relieving OOW</w:t>
      </w:r>
      <w:r w:rsidR="00A82812">
        <w:t>: ......................................</w:t>
      </w:r>
    </w:p>
    <w:sectPr w:rsidR="00466E1F" w:rsidSect="009520E4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62" w:rsidRDefault="00632262" w:rsidP="003A4324">
      <w:r>
        <w:separator/>
      </w:r>
    </w:p>
  </w:endnote>
  <w:endnote w:type="continuationSeparator" w:id="0">
    <w:p w:rsidR="00632262" w:rsidRDefault="00632262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F829FA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9520E4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9520E4" w:rsidRPr="00E87953" w:rsidRDefault="009520E4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9520E4" w:rsidRPr="00E87953" w:rsidRDefault="009520E4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62" w:rsidRDefault="00632262" w:rsidP="003A4324">
      <w:r>
        <w:separator/>
      </w:r>
    </w:p>
  </w:footnote>
  <w:footnote w:type="continuationSeparator" w:id="0">
    <w:p w:rsidR="00632262" w:rsidRDefault="00632262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9520E4">
          <w:pPr>
            <w:pStyle w:val="SectionHeading"/>
          </w:pPr>
          <w:r>
            <w:t>saf</w:t>
          </w:r>
          <w:r w:rsidR="008A661A">
            <w:t>30</w:t>
          </w:r>
          <w:r w:rsidR="009520E4">
            <w:t xml:space="preserve"> (Fleet) </w:t>
          </w:r>
          <w:r>
            <w:t xml:space="preserve">– </w:t>
          </w:r>
          <w:r w:rsidR="008A661A">
            <w:t>br</w:t>
          </w:r>
          <w:r>
            <w:t xml:space="preserve">idge </w:t>
          </w:r>
          <w:r w:rsidR="008A661A">
            <w:t>anchor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0C7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61593"/>
    <w:rsid w:val="00074491"/>
    <w:rsid w:val="000807B4"/>
    <w:rsid w:val="00090968"/>
    <w:rsid w:val="000A52B9"/>
    <w:rsid w:val="000B09A1"/>
    <w:rsid w:val="000B2230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331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00FAF"/>
    <w:rsid w:val="00215052"/>
    <w:rsid w:val="002164DA"/>
    <w:rsid w:val="00217208"/>
    <w:rsid w:val="002179E4"/>
    <w:rsid w:val="00244787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20AF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B45FD"/>
    <w:rsid w:val="004C20A5"/>
    <w:rsid w:val="004D1D48"/>
    <w:rsid w:val="004D243A"/>
    <w:rsid w:val="004D5161"/>
    <w:rsid w:val="004E011D"/>
    <w:rsid w:val="004E4007"/>
    <w:rsid w:val="0051182C"/>
    <w:rsid w:val="005222F9"/>
    <w:rsid w:val="00526D6C"/>
    <w:rsid w:val="00533589"/>
    <w:rsid w:val="00535399"/>
    <w:rsid w:val="00542398"/>
    <w:rsid w:val="00547DF7"/>
    <w:rsid w:val="00553270"/>
    <w:rsid w:val="005932C8"/>
    <w:rsid w:val="00593B6D"/>
    <w:rsid w:val="005A5889"/>
    <w:rsid w:val="005B1576"/>
    <w:rsid w:val="005B4B19"/>
    <w:rsid w:val="005D1F7E"/>
    <w:rsid w:val="005D351D"/>
    <w:rsid w:val="00606C50"/>
    <w:rsid w:val="00623A25"/>
    <w:rsid w:val="00632262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A7C37"/>
    <w:rsid w:val="006B5779"/>
    <w:rsid w:val="006B68EF"/>
    <w:rsid w:val="006C01E7"/>
    <w:rsid w:val="006C376E"/>
    <w:rsid w:val="006E08AD"/>
    <w:rsid w:val="006E4CAE"/>
    <w:rsid w:val="006F36EB"/>
    <w:rsid w:val="006F5412"/>
    <w:rsid w:val="007065F6"/>
    <w:rsid w:val="00713F62"/>
    <w:rsid w:val="00720293"/>
    <w:rsid w:val="00734D0E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59CE"/>
    <w:rsid w:val="007F6FAD"/>
    <w:rsid w:val="007F718B"/>
    <w:rsid w:val="00801F0E"/>
    <w:rsid w:val="00811380"/>
    <w:rsid w:val="00824655"/>
    <w:rsid w:val="008247C6"/>
    <w:rsid w:val="008379B6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A661A"/>
    <w:rsid w:val="008B41D1"/>
    <w:rsid w:val="008C3DBB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20E4"/>
    <w:rsid w:val="00954C65"/>
    <w:rsid w:val="00960D68"/>
    <w:rsid w:val="00964AD9"/>
    <w:rsid w:val="009668A7"/>
    <w:rsid w:val="00970E38"/>
    <w:rsid w:val="009A571A"/>
    <w:rsid w:val="009A7190"/>
    <w:rsid w:val="009C061F"/>
    <w:rsid w:val="009D0847"/>
    <w:rsid w:val="009D0CA4"/>
    <w:rsid w:val="009E074C"/>
    <w:rsid w:val="009F20D4"/>
    <w:rsid w:val="00A012A5"/>
    <w:rsid w:val="00A13A96"/>
    <w:rsid w:val="00A2217C"/>
    <w:rsid w:val="00A27CE1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9500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008"/>
    <w:rsid w:val="00B231AE"/>
    <w:rsid w:val="00B274DB"/>
    <w:rsid w:val="00B275D0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B7745"/>
    <w:rsid w:val="00BC1511"/>
    <w:rsid w:val="00BC5737"/>
    <w:rsid w:val="00BE4A95"/>
    <w:rsid w:val="00BE5CDA"/>
    <w:rsid w:val="00BE70BE"/>
    <w:rsid w:val="00BF0B9B"/>
    <w:rsid w:val="00BF3DD1"/>
    <w:rsid w:val="00BF5C70"/>
    <w:rsid w:val="00C02900"/>
    <w:rsid w:val="00C03D7D"/>
    <w:rsid w:val="00C16A98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2E91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56E33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10793"/>
    <w:rsid w:val="00E1442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86D07"/>
    <w:rsid w:val="00E93A23"/>
    <w:rsid w:val="00E94564"/>
    <w:rsid w:val="00E9514E"/>
    <w:rsid w:val="00E976A7"/>
    <w:rsid w:val="00EA0353"/>
    <w:rsid w:val="00EB5087"/>
    <w:rsid w:val="00EE43D8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29FA"/>
    <w:rsid w:val="00F862BB"/>
    <w:rsid w:val="00F8739F"/>
    <w:rsid w:val="00F9132C"/>
    <w:rsid w:val="00FA1FE2"/>
    <w:rsid w:val="00FA7B48"/>
    <w:rsid w:val="00FC7DCB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2888E-718F-437B-B167-D1331349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4</cp:revision>
  <cp:lastPrinted>2014-06-17T18:34:00Z</cp:lastPrinted>
  <dcterms:created xsi:type="dcterms:W3CDTF">2018-02-26T12:31:00Z</dcterms:created>
  <dcterms:modified xsi:type="dcterms:W3CDTF">2018-04-12T13:44:00Z</dcterms:modified>
</cp:coreProperties>
</file>