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67D9" w14:textId="77777777"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</w:r>
      <w:r w:rsidR="00BB7745">
        <w:rPr>
          <w:lang w:val="en-US"/>
        </w:rPr>
        <w:tab/>
        <w:t>Port</w:t>
      </w:r>
      <w:r>
        <w:rPr>
          <w:lang w:val="en-US"/>
        </w:rPr>
        <w:t>:</w:t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FADC6AD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7F6FAD" w:rsidRPr="007F6FAD">
        <w:t xml:space="preserve">Should the relieving </w:t>
      </w:r>
      <w:r w:rsidR="007F6FAD">
        <w:t>OOW</w:t>
      </w:r>
      <w:r w:rsidR="007F6FAD" w:rsidRPr="007F6FAD">
        <w:t xml:space="preserve"> consider the vessel to be in danger, he may refuse to take over the watch until the Master has been advised and his instructions are received.  The </w:t>
      </w:r>
      <w:r w:rsidR="007F6FAD">
        <w:t xml:space="preserve">handing over OOW </w:t>
      </w:r>
      <w:r w:rsidR="007F6FAD" w:rsidRPr="007F6FAD">
        <w:t xml:space="preserve">should not hand over the watch to the relieving 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</w:t>
      </w:r>
      <w:proofErr w:type="gramStart"/>
      <w:r w:rsidR="007F6FAD" w:rsidRPr="007F6FAD">
        <w:t>Master</w:t>
      </w:r>
      <w:proofErr w:type="gramEnd"/>
    </w:p>
    <w:p w14:paraId="68ABA254" w14:textId="77777777" w:rsidR="003E5A45" w:rsidRDefault="00BB7745" w:rsidP="003E5A45">
      <w:pPr>
        <w:pStyle w:val="ListHeading"/>
        <w:rPr>
          <w:szCs w:val="36"/>
        </w:rPr>
      </w:pPr>
      <w:r>
        <w:rPr>
          <w:szCs w:val="36"/>
        </w:rPr>
        <w:t>Port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14:paraId="0BB8815D" w14:textId="77777777" w:rsidTr="007F59CE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B7F554C" w14:textId="77777777"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14:paraId="7EF803D8" w14:textId="77777777"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14:paraId="2A41317C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047850E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 xml:space="preserve">International, </w:t>
            </w:r>
            <w:proofErr w:type="gramStart"/>
            <w:r>
              <w:t>national</w:t>
            </w:r>
            <w:proofErr w:type="gramEnd"/>
            <w:r>
              <w:t xml:space="preserve"> and local rule</w:t>
            </w:r>
            <w:r w:rsidR="007871F5" w:rsidRPr="00D66303">
              <w:t>s</w:t>
            </w:r>
            <w:r w:rsidR="007871F5">
              <w:tab/>
            </w:r>
            <w:r>
              <w:t>observ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12C853BD" w14:textId="77777777" w:rsidR="007871F5" w:rsidRDefault="007871F5" w:rsidP="00BF5C70"/>
        </w:tc>
      </w:tr>
      <w:tr w:rsidR="007871F5" w14:paraId="2BD9A10C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21421E3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Any special port regulations</w:t>
            </w:r>
            <w:r w:rsidR="007871F5">
              <w:tab/>
            </w:r>
            <w:r>
              <w:t>informed &amp;in place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7964D202" w14:textId="77777777" w:rsidR="007871F5" w:rsidRDefault="007871F5" w:rsidP="00BF5C70"/>
        </w:tc>
      </w:tr>
      <w:tr w:rsidR="007871F5" w14:paraId="574C3D67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70408D3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 xml:space="preserve">Captain’s standing </w:t>
            </w:r>
            <w:r>
              <w:t>&amp;</w:t>
            </w:r>
            <w:r w:rsidRPr="00B23008">
              <w:t xml:space="preserve"> any special orders</w:t>
            </w:r>
            <w:r>
              <w:tab/>
              <w:t xml:space="preserve"> briefed 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50D35AB9" w14:textId="77777777" w:rsidR="007871F5" w:rsidRDefault="007871F5" w:rsidP="00BF5C70"/>
        </w:tc>
      </w:tr>
      <w:tr w:rsidR="007871F5" w14:paraId="49180027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2DC7C39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Port emergency contact numbers</w:t>
            </w:r>
            <w:r w:rsidR="007871F5">
              <w:tab/>
            </w:r>
            <w:r>
              <w:t xml:space="preserve">available 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7F966E72" w14:textId="77777777" w:rsidR="007871F5" w:rsidRDefault="00B23008" w:rsidP="00B23008">
            <w:r w:rsidRPr="00B23008">
              <w:t>As per port contacts file</w:t>
            </w:r>
          </w:p>
        </w:tc>
      </w:tr>
      <w:tr w:rsidR="007871F5" w14:paraId="6BE3CA71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8CAB202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Port / VTS /Pilot VHF contacts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531BC866" w14:textId="77777777" w:rsidR="007871F5" w:rsidRDefault="007871F5" w:rsidP="00DA1E56"/>
        </w:tc>
      </w:tr>
      <w:tr w:rsidR="007871F5" w14:paraId="4B1838DB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CDA45A4" w14:textId="77777777" w:rsidR="007871F5" w:rsidRDefault="0037413C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</w:t>
            </w:r>
            <w:r w:rsidR="007871F5">
              <w:t>E</w:t>
            </w:r>
            <w:r>
              <w:t>M</w:t>
            </w:r>
            <w:r w:rsidR="007871F5">
              <w:t xml:space="preserve"> status</w:t>
            </w:r>
            <w:r w:rsidR="00B23008">
              <w:t xml:space="preserve"> &amp; emergency availability</w:t>
            </w:r>
            <w:r w:rsidR="007871F5">
              <w:tab/>
            </w:r>
            <w:r w:rsidR="00B23008"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7CAE7054" w14:textId="77777777" w:rsidR="007871F5" w:rsidRDefault="007871F5" w:rsidP="00BF5C70"/>
        </w:tc>
      </w:tr>
      <w:tr w:rsidR="007871F5" w14:paraId="28F53B9D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B4A0A96" w14:textId="77777777"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VDR status</w:t>
            </w:r>
            <w:r w:rsidR="007871F5">
              <w:tab/>
            </w:r>
            <w:r>
              <w:t>check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6285254F" w14:textId="77777777" w:rsidR="007871F5" w:rsidRDefault="007871F5" w:rsidP="00DA1E56"/>
        </w:tc>
      </w:tr>
      <w:tr w:rsidR="007871F5" w14:paraId="19D7FAC6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2FCCFCC" w14:textId="77777777" w:rsidR="007871F5" w:rsidRDefault="00B23008" w:rsidP="00606C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Mooring &amp; anchoring arrangement</w:t>
            </w:r>
            <w:r w:rsidR="007871F5">
              <w:t>s</w:t>
            </w:r>
            <w:r w:rsidR="00606C50">
              <w:tab/>
              <w:t>checked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17BCB62E" w14:textId="77777777" w:rsidR="007871F5" w:rsidRDefault="00606C50" w:rsidP="00BF5C70">
            <w:r>
              <w:t>Forward:</w:t>
            </w:r>
          </w:p>
          <w:p w14:paraId="3DA5B9DC" w14:textId="77777777" w:rsidR="00606C50" w:rsidRDefault="00606C50" w:rsidP="00BF5C70">
            <w:r>
              <w:t>Aft:</w:t>
            </w:r>
          </w:p>
        </w:tc>
      </w:tr>
      <w:tr w:rsidR="007871F5" w14:paraId="43B494F7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DBC4D35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Gangway positions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0BEAA47A" w14:textId="77777777" w:rsidR="007871F5" w:rsidRDefault="007871F5" w:rsidP="00BF5C70"/>
        </w:tc>
      </w:tr>
      <w:tr w:rsidR="007871F5" w14:paraId="31C10894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1C3ADDD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Gangway</w:t>
            </w:r>
            <w:r w:rsidR="007871F5" w:rsidRPr="00130335">
              <w:t>s</w:t>
            </w:r>
            <w:r w:rsidR="007871F5">
              <w:tab/>
            </w:r>
            <w:r>
              <w:t>mann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14:paraId="4AF19A80" w14:textId="77777777" w:rsidR="007871F5" w:rsidRDefault="007871F5" w:rsidP="00DA1E56"/>
        </w:tc>
      </w:tr>
      <w:tr w:rsidR="007871F5" w14:paraId="2D4F9A43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572EBB5" w14:textId="77777777" w:rsidR="007871F5" w:rsidRDefault="008379B6" w:rsidP="008379B6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Communications</w:t>
            </w:r>
            <w:r w:rsidR="007871F5">
              <w:tab/>
            </w:r>
            <w:r>
              <w:t>establish</w:t>
            </w:r>
            <w:r w:rsidR="007871F5" w:rsidRPr="002A56CA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34C965B5" w14:textId="77777777" w:rsidR="007871F5" w:rsidRDefault="007871F5" w:rsidP="00BF5C70"/>
        </w:tc>
      </w:tr>
      <w:tr w:rsidR="007871F5" w14:paraId="624E045D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1DDB715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Weather and forecast</w:t>
            </w:r>
            <w:r w:rsidR="007871F5">
              <w:tab/>
            </w:r>
            <w:r>
              <w:t>monitor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14:paraId="11C58A0E" w14:textId="77777777" w:rsidR="007871F5" w:rsidRDefault="007871F5" w:rsidP="00BF5C70"/>
        </w:tc>
      </w:tr>
      <w:tr w:rsidR="007871F5" w14:paraId="44828F6B" w14:textId="77777777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60A5659" w14:textId="77777777" w:rsidR="007871F5" w:rsidRDefault="008379B6" w:rsidP="008379B6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Moorings and gangways</w:t>
            </w:r>
            <w:r w:rsidR="007871F5">
              <w:tab/>
            </w:r>
            <w:r>
              <w:t>adjust</w:t>
            </w:r>
            <w:r w:rsidR="007871F5">
              <w:t>ed</w:t>
            </w:r>
            <w:r>
              <w:t xml:space="preserve"> as necessary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59F8A1F" w14:textId="77777777" w:rsidR="007871F5" w:rsidRDefault="007871F5" w:rsidP="00BF5C70"/>
        </w:tc>
      </w:tr>
      <w:tr w:rsidR="007871F5" w14:paraId="30AAC142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FC4D2A3" w14:textId="77777777"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Times of Tides &amp; Heights</w:t>
            </w:r>
            <w:r w:rsidR="007871F5">
              <w:tab/>
            </w:r>
            <w:r>
              <w:t>calculated &amp;inform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1CD19E18" w14:textId="77777777" w:rsidR="007871F5" w:rsidRDefault="008379B6" w:rsidP="00BF5C70">
            <w:r>
              <w:t>HW:                                        LW:</w:t>
            </w:r>
            <w:r w:rsidR="007871F5">
              <w:t xml:space="preserve">  </w:t>
            </w:r>
          </w:p>
        </w:tc>
      </w:tr>
      <w:tr w:rsidR="007871F5" w14:paraId="72DABF54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1C4BFD8" w14:textId="77777777" w:rsidR="007871F5" w:rsidRPr="00824655" w:rsidRDefault="00824655" w:rsidP="00824655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824655">
              <w:t xml:space="preserve">Tidal </w:t>
            </w:r>
            <w:r>
              <w:t>&amp;</w:t>
            </w:r>
            <w:r w:rsidRPr="00824655">
              <w:t xml:space="preserve">river currents </w:t>
            </w:r>
            <w:r>
              <w:t xml:space="preserve">and </w:t>
            </w:r>
            <w:r w:rsidRPr="00824655">
              <w:t>vessel traffic movements which may affect mooring safety</w:t>
            </w:r>
            <w:r>
              <w:t xml:space="preserve"> continuously </w:t>
            </w:r>
            <w:r w:rsidRPr="00824655">
              <w:t>monitored for unpredicted changes</w:t>
            </w:r>
            <w:r>
              <w:t xml:space="preserve"> 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14008428" w14:textId="77777777" w:rsidR="007871F5" w:rsidRDefault="007871F5" w:rsidP="00BF5C70"/>
        </w:tc>
      </w:tr>
      <w:tr w:rsidR="007871F5" w14:paraId="2C8BEE2D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CEB00B0" w14:textId="77777777" w:rsidR="007871F5" w:rsidRPr="00E52F9E" w:rsidRDefault="00824655" w:rsidP="00824655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Storing arrangements</w:t>
            </w:r>
            <w:r w:rsidR="007871F5">
              <w:tab/>
            </w:r>
            <w:r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E862D7C" w14:textId="77777777" w:rsidR="007871F5" w:rsidRDefault="007871F5" w:rsidP="00BF5C70"/>
        </w:tc>
      </w:tr>
      <w:tr w:rsidR="00F72BF8" w14:paraId="3F0B666E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F3CFF34" w14:textId="77777777" w:rsidR="00F72BF8" w:rsidRDefault="00824655" w:rsidP="00824655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Conveyor</w:t>
            </w:r>
            <w:r w:rsidR="00F72BF8" w:rsidRPr="007D0CA3">
              <w:t>s</w:t>
            </w:r>
            <w:r>
              <w:t xml:space="preserve"> in use</w:t>
            </w:r>
            <w:r w:rsidR="00F72BF8">
              <w:tab/>
            </w:r>
            <w:r>
              <w:t>inf</w:t>
            </w:r>
            <w:r w:rsidR="00F72BF8">
              <w:t>ormed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21732FA" w14:textId="77777777" w:rsidR="00F72BF8" w:rsidRDefault="00F72BF8" w:rsidP="00110FE0"/>
        </w:tc>
      </w:tr>
      <w:tr w:rsidR="00F72BF8" w14:paraId="14091228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36559FC" w14:textId="77777777" w:rsidR="00F72BF8" w:rsidRPr="007D0CA3" w:rsidRDefault="00824655" w:rsidP="00824655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Shell door</w:t>
            </w:r>
            <w:r w:rsidR="00F72BF8" w:rsidRPr="007D0CA3">
              <w:t>s</w:t>
            </w:r>
            <w:r>
              <w:t>, incl. store hatches status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5239F216" w14:textId="77777777" w:rsidR="00F72BF8" w:rsidRDefault="00F72BF8" w:rsidP="00110FE0"/>
        </w:tc>
      </w:tr>
      <w:tr w:rsidR="00F72BF8" w14:paraId="3D85A90C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B0A4C0B" w14:textId="77777777" w:rsidR="00F72BF8" w:rsidRPr="007D0CA3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CC2E91">
              <w:t>Status of WTDs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15140EBA" w14:textId="77777777" w:rsidR="00F72BF8" w:rsidRDefault="00F72BF8" w:rsidP="00110FE0"/>
        </w:tc>
      </w:tr>
      <w:tr w:rsidR="00F72BF8" w14:paraId="5ABEE8D5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BB30308" w14:textId="77777777" w:rsidR="00F72BF8" w:rsidRPr="007D0CA3" w:rsidRDefault="00CC2E91" w:rsidP="0037413C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D</w:t>
            </w:r>
            <w:r w:rsidRPr="00CC2E91">
              <w:t>eadlights</w:t>
            </w:r>
            <w:r>
              <w:t xml:space="preserve"> status</w:t>
            </w:r>
            <w:r w:rsidR="00F72BF8">
              <w:tab/>
              <w:t>informed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2D88234C" w14:textId="77777777" w:rsidR="00F72BF8" w:rsidRDefault="00F72BF8" w:rsidP="00110FE0"/>
        </w:tc>
      </w:tr>
      <w:tr w:rsidR="00F72BF8" w14:paraId="2A764A6B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8F7257E" w14:textId="77777777" w:rsidR="00F72BF8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CC2E91">
              <w:t>Ship’s draft and depth of water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C66451D" w14:textId="77777777" w:rsidR="00F72BF8" w:rsidRDefault="00F72BF8" w:rsidP="00110FE0"/>
        </w:tc>
      </w:tr>
      <w:tr w:rsidR="00F72BF8" w14:paraId="6F477313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711BF78" w14:textId="77777777" w:rsidR="00F72BF8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rPr>
                <w:sz w:val="22"/>
                <w:szCs w:val="20"/>
              </w:rPr>
              <w:t>Ballast and bunker operations status</w:t>
            </w:r>
            <w:r w:rsidR="005A5889">
              <w:tab/>
            </w:r>
            <w:r>
              <w:t>inform</w:t>
            </w:r>
            <w:r w:rsidR="005A5889" w:rsidRPr="009F20D4">
              <w:t>ed</w:t>
            </w:r>
            <w:r w:rsidR="005A5889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1EEB14D8" w14:textId="77777777" w:rsidR="00F72BF8" w:rsidRDefault="00CC2E91" w:rsidP="00110FE0">
            <w:r>
              <w:t>Ballast:</w:t>
            </w:r>
          </w:p>
          <w:p w14:paraId="3B8B696D" w14:textId="77777777" w:rsidR="00CC2E91" w:rsidRDefault="00CC2E91" w:rsidP="00110FE0">
            <w:r>
              <w:t>FO:</w:t>
            </w:r>
          </w:p>
          <w:p w14:paraId="6E5854F5" w14:textId="77777777" w:rsidR="00CC2E91" w:rsidRDefault="00CC2E91" w:rsidP="00110FE0">
            <w:r>
              <w:t>DO:</w:t>
            </w:r>
          </w:p>
          <w:p w14:paraId="4DC03D74" w14:textId="77777777" w:rsidR="00CC2E91" w:rsidRDefault="00CC2E91" w:rsidP="00110FE0">
            <w:r>
              <w:t>FW consumption:</w:t>
            </w:r>
          </w:p>
          <w:p w14:paraId="63026E1E" w14:textId="77777777" w:rsidR="00CC2E91" w:rsidRDefault="00CC2E91" w:rsidP="00110FE0">
            <w:r>
              <w:t>FW loading:</w:t>
            </w:r>
          </w:p>
        </w:tc>
      </w:tr>
      <w:tr w:rsidR="00F40362" w14:paraId="39733F81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3169B9C" w14:textId="77777777" w:rsidR="00F40362" w:rsidRPr="00F9132C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Craft lying alongside</w:t>
            </w:r>
            <w:r w:rsidR="00F40362">
              <w:tab/>
            </w:r>
            <w:r>
              <w:t>checked</w:t>
            </w:r>
            <w:r w:rsidR="00F40362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55C8551" w14:textId="77777777" w:rsidR="00F40362" w:rsidRPr="00F9132C" w:rsidRDefault="00F40362" w:rsidP="00110FE0"/>
        </w:tc>
      </w:tr>
      <w:tr w:rsidR="00F40362" w14:paraId="32E52AFC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55811DB" w14:textId="77777777" w:rsidR="00F40362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Permit to work in force</w:t>
            </w:r>
            <w:r w:rsidR="00F40362">
              <w:tab/>
            </w:r>
            <w:r>
              <w:t>infor</w:t>
            </w:r>
            <w:r w:rsidR="00F40362">
              <w:t>m</w:t>
            </w:r>
            <w:r w:rsidR="00F40362" w:rsidRPr="009F20D4">
              <w:t>ed</w:t>
            </w:r>
            <w:r w:rsidR="00F40362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EB1B7CD" w14:textId="77777777" w:rsidR="00F40362" w:rsidRPr="00F9132C" w:rsidRDefault="00F40362" w:rsidP="00110FE0"/>
        </w:tc>
      </w:tr>
      <w:tr w:rsidR="00CC2E91" w14:paraId="084F785A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CAED499" w14:textId="77777777" w:rsidR="00CC2E91" w:rsidRDefault="002F20AF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</w:t>
            </w:r>
            <w:r w:rsidR="00CC2E91">
              <w:t>ollution prevention measures</w:t>
            </w:r>
            <w:r w:rsidR="00CC2E91">
              <w:tab/>
              <w:t>in place</w:t>
            </w:r>
            <w:r w:rsidR="00CC2E91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7A1EBD42" w14:textId="77777777" w:rsidR="00CC2E91" w:rsidRPr="00F9132C" w:rsidRDefault="00CC2E91" w:rsidP="00110FE0"/>
        </w:tc>
      </w:tr>
      <w:tr w:rsidR="00CC2E91" w14:paraId="04583F06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BC8D368" w14:textId="77777777" w:rsidR="00CC2E91" w:rsidRPr="002F20AF" w:rsidRDefault="002F20AF" w:rsidP="002F20AF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2F20AF">
              <w:t>Flag signals or lights exhibited</w:t>
            </w:r>
            <w:r>
              <w:t xml:space="preserve"> </w:t>
            </w:r>
            <w:r>
              <w:tab/>
              <w:t>check</w:t>
            </w:r>
            <w:r w:rsidRPr="009F20D4">
              <w:t>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12633E43" w14:textId="77777777" w:rsidR="00CC2E91" w:rsidRPr="00F9132C" w:rsidRDefault="00CC2E91" w:rsidP="00110FE0"/>
        </w:tc>
      </w:tr>
      <w:tr w:rsidR="00CC2E91" w14:paraId="3F10C9B5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87682E0" w14:textId="77777777" w:rsidR="00CC2E91" w:rsidRDefault="000B2230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deck lighting 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05879FF9" w14:textId="77777777" w:rsidR="00CC2E91" w:rsidRPr="00F9132C" w:rsidRDefault="00CC2E91" w:rsidP="00110FE0"/>
        </w:tc>
      </w:tr>
      <w:tr w:rsidR="00CC2E91" w14:paraId="51F06DC6" w14:textId="7777777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216EBB7" w14:textId="77777777" w:rsidR="00CC2E91" w:rsidRDefault="000B2230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Dressing lines </w:t>
            </w:r>
            <w:r>
              <w:tab/>
              <w:t>check</w:t>
            </w:r>
            <w:r w:rsidRPr="009F20D4">
              <w:t>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445D7F7B" w14:textId="77777777" w:rsidR="00CC2E91" w:rsidRPr="00F9132C" w:rsidRDefault="00CC2E91" w:rsidP="00110FE0"/>
        </w:tc>
      </w:tr>
    </w:tbl>
    <w:p w14:paraId="0FB0187A" w14:textId="77777777" w:rsidR="00E52F9E" w:rsidRDefault="000B2230" w:rsidP="00E52F9E">
      <w:pPr>
        <w:pStyle w:val="ListHeading"/>
        <w:rPr>
          <w:szCs w:val="36"/>
        </w:rPr>
      </w:pPr>
      <w:r>
        <w:rPr>
          <w:szCs w:val="36"/>
        </w:rPr>
        <w:lastRenderedPageBreak/>
        <w:t>Port</w:t>
      </w:r>
      <w:r w:rsidR="00E52F9E">
        <w:rPr>
          <w:szCs w:val="36"/>
        </w:rPr>
        <w:t xml:space="preserve"> watch handover checks (continued)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5238"/>
        <w:gridCol w:w="4410"/>
      </w:tblGrid>
      <w:tr w:rsidR="007871F5" w14:paraId="3FFC6C7E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1A7C819" w14:textId="77777777" w:rsidR="007871F5" w:rsidRDefault="007871F5" w:rsidP="007871F5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4CB467BC" w14:textId="77777777" w:rsidR="007871F5" w:rsidRPr="00593B6D" w:rsidRDefault="007871F5" w:rsidP="00660286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5A5889" w14:paraId="65DC5CB6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1DAE567" w14:textId="77777777" w:rsidR="005A5889" w:rsidRPr="009F20D4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Bridge alarms</w:t>
            </w:r>
            <w:r w:rsidR="005A5889">
              <w:tab/>
            </w:r>
            <w:r>
              <w:t>monitor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559F9322" w14:textId="77777777" w:rsidR="005A5889" w:rsidRDefault="005A5889" w:rsidP="005A595D"/>
        </w:tc>
      </w:tr>
      <w:tr w:rsidR="005A5889" w14:paraId="638EFB16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1DD9865" w14:textId="77777777" w:rsidR="005A5889" w:rsidRPr="00F9132C" w:rsidRDefault="000B2230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 xml:space="preserve">Isolated loops or detectors </w:t>
            </w:r>
            <w:r>
              <w:t xml:space="preserve">of </w:t>
            </w:r>
            <w:r w:rsidRPr="002F1D03">
              <w:t>fire alarm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3D2C3235" w14:textId="77777777" w:rsidR="005A5889" w:rsidRDefault="005A5889" w:rsidP="00110FE0"/>
        </w:tc>
      </w:tr>
      <w:tr w:rsidR="005A5889" w14:paraId="2213D55E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F43610A" w14:textId="77777777" w:rsidR="005A5889" w:rsidRPr="00F9132C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State of Fire Fighting Appliances</w:t>
            </w:r>
            <w:r w:rsidR="005A5889">
              <w:tab/>
            </w:r>
            <w:r w:rsidR="005A5889" w:rsidRPr="00F9132C">
              <w:t>monitored</w:t>
            </w:r>
            <w:r>
              <w:t xml:space="preserve"> &amp;ready</w:t>
            </w:r>
            <w:r w:rsidR="005A5889">
              <w:sym w:font="Webdings" w:char="F063"/>
            </w:r>
            <w:r w:rsidR="005A5889" w:rsidRPr="00F9132C">
              <w:t xml:space="preserve">  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56EECBF8" w14:textId="77777777" w:rsidR="005A5889" w:rsidRDefault="005A5889" w:rsidP="00110FE0"/>
        </w:tc>
      </w:tr>
      <w:tr w:rsidR="005A5889" w14:paraId="7B2CD438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DED3CAE" w14:textId="77777777" w:rsidR="005A5889" w:rsidRPr="00217208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State of LSA (incl. any lifeboats/ </w:t>
            </w:r>
            <w:proofErr w:type="spellStart"/>
            <w:r>
              <w:t>liferafts</w:t>
            </w:r>
            <w:proofErr w:type="spellEnd"/>
            <w:r>
              <w:t>/rescue boats/ tender boats/zodiacs/</w:t>
            </w:r>
            <w:proofErr w:type="spellStart"/>
            <w:r>
              <w:t>dingies</w:t>
            </w:r>
            <w:proofErr w:type="spellEnd"/>
            <w:r>
              <w:t>)</w:t>
            </w:r>
            <w:r w:rsidR="005A5889">
              <w:tab/>
            </w:r>
            <w:r w:rsidRPr="00F9132C">
              <w:t>monitored</w:t>
            </w:r>
            <w:r>
              <w:t xml:space="preserve"> &amp;ready 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413DCEA1" w14:textId="77777777" w:rsidR="005A5889" w:rsidRDefault="005A5889" w:rsidP="005A595D"/>
        </w:tc>
      </w:tr>
      <w:tr w:rsidR="005A5889" w14:paraId="1190F788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1D67177" w14:textId="77777777" w:rsidR="005A5889" w:rsidRPr="00B04A50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7DF7">
              <w:t>In port manning status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1ACBA54B" w14:textId="77777777" w:rsidR="005A5889" w:rsidRDefault="005A5889" w:rsidP="00BF5C70"/>
        </w:tc>
      </w:tr>
      <w:tr w:rsidR="005A5889" w14:paraId="140553A8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174D941" w14:textId="77777777" w:rsidR="005A5889" w:rsidRPr="00B04A50" w:rsidRDefault="00547DF7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 xml:space="preserve">Status of pools and </w:t>
            </w:r>
            <w:proofErr w:type="spellStart"/>
            <w:r w:rsidRPr="002F1D03">
              <w:t>jacuzzis</w:t>
            </w:r>
            <w:proofErr w:type="spellEnd"/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7ABF329B" w14:textId="77777777" w:rsidR="005A5889" w:rsidRDefault="005A5889" w:rsidP="00BF5C70"/>
        </w:tc>
      </w:tr>
      <w:tr w:rsidR="005A5889" w14:paraId="5D10BFB2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B670FE7" w14:textId="77777777" w:rsidR="005A5889" w:rsidRPr="00B04A50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Bilge water/ sludge discharge to facilities</w:t>
            </w:r>
            <w:r w:rsidR="005A5889">
              <w:tab/>
            </w:r>
            <w:r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2BD9C96A" w14:textId="77777777" w:rsidR="005A5889" w:rsidRDefault="00547DF7" w:rsidP="00BF5C70">
            <w:r>
              <w:t>Yes</w:t>
            </w:r>
            <w:r>
              <w:sym w:font="Webdings" w:char="F063"/>
            </w:r>
            <w:r>
              <w:t xml:space="preserve">    No</w:t>
            </w:r>
            <w:r>
              <w:sym w:font="Webdings" w:char="F063"/>
            </w:r>
          </w:p>
        </w:tc>
      </w:tr>
      <w:tr w:rsidR="005A5889" w14:paraId="7E5AA5E0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69707D9" w14:textId="77777777"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Garbage disposal ashore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4B14F728" w14:textId="77777777" w:rsidR="005A5889" w:rsidRDefault="00547DF7" w:rsidP="00BF5C70">
            <w:r>
              <w:t>Yes</w:t>
            </w:r>
            <w:r>
              <w:sym w:font="Webdings" w:char="F063"/>
            </w:r>
            <w:r>
              <w:t xml:space="preserve">    No</w:t>
            </w:r>
            <w:r>
              <w:sym w:font="Webdings" w:char="F063"/>
            </w:r>
          </w:p>
        </w:tc>
      </w:tr>
      <w:tr w:rsidR="005A5889" w14:paraId="2B05967C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69A753D" w14:textId="77777777"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No incineration as per Company policy</w:t>
            </w:r>
            <w:r>
              <w:tab/>
              <w:t>confirmed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1E909089" w14:textId="77777777" w:rsidR="005A5889" w:rsidRDefault="005A5889" w:rsidP="00BF5C70"/>
        </w:tc>
      </w:tr>
      <w:tr w:rsidR="005A5889" w14:paraId="4FA4FD72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06AEE2A" w14:textId="77777777"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Grey/ Black water discharge to facilities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713F6FEF" w14:textId="77777777" w:rsidR="00145331" w:rsidRDefault="00547DF7" w:rsidP="00547DF7">
            <w:r w:rsidRPr="003328D4">
              <w:t xml:space="preserve">Grey water / </w:t>
            </w:r>
            <w:r w:rsidRPr="003328D4">
              <w:rPr>
                <w:b/>
              </w:rPr>
              <w:t xml:space="preserve">Treated </w:t>
            </w:r>
            <w:r w:rsidRPr="003328D4">
              <w:t xml:space="preserve">Back </w:t>
            </w:r>
            <w:proofErr w:type="gramStart"/>
            <w:r w:rsidRPr="003328D4">
              <w:t>water  discharge</w:t>
            </w:r>
            <w:proofErr w:type="gramEnd"/>
            <w:r w:rsidRPr="003328D4">
              <w:t xml:space="preserve"> to sea </w:t>
            </w:r>
            <w:r w:rsidR="00145331">
              <w:t>in exceptional circumstances, only if:</w:t>
            </w:r>
          </w:p>
          <w:p w14:paraId="29B62A3F" w14:textId="77777777" w:rsidR="00145331" w:rsidRDefault="00145331" w:rsidP="00145331">
            <w:r>
              <w:t>- treated by</w:t>
            </w:r>
            <w:r w:rsidR="00547DF7" w:rsidRPr="003328D4">
              <w:t xml:space="preserve"> IMO approved sewage treatment plant</w:t>
            </w:r>
          </w:p>
          <w:p w14:paraId="4C7F87A1" w14:textId="77777777" w:rsidR="00145331" w:rsidRDefault="00145331" w:rsidP="00145331">
            <w:r>
              <w:t xml:space="preserve">- </w:t>
            </w:r>
            <w:r w:rsidR="00547DF7" w:rsidRPr="003328D4">
              <w:t xml:space="preserve">authorised </w:t>
            </w:r>
            <w:r>
              <w:t xml:space="preserve">by Company in advance </w:t>
            </w:r>
            <w:r w:rsidR="00547DF7" w:rsidRPr="003328D4">
              <w:t xml:space="preserve">(with </w:t>
            </w:r>
            <w:r>
              <w:t>V</w:t>
            </w:r>
            <w:r w:rsidR="00547DF7" w:rsidRPr="003328D4">
              <w:t>MS exemption)</w:t>
            </w:r>
          </w:p>
          <w:p w14:paraId="53831609" w14:textId="77777777" w:rsidR="005A5889" w:rsidRDefault="00145331" w:rsidP="00145331">
            <w:r>
              <w:t xml:space="preserve">- </w:t>
            </w:r>
            <w:r w:rsidR="00547DF7" w:rsidRPr="003328D4">
              <w:t xml:space="preserve">in compliance with </w:t>
            </w:r>
            <w:proofErr w:type="spellStart"/>
            <w:r w:rsidR="00547DF7" w:rsidRPr="003328D4">
              <w:t>Marpol</w:t>
            </w:r>
            <w:proofErr w:type="spellEnd"/>
            <w:r w:rsidR="00547DF7" w:rsidRPr="003328D4">
              <w:t xml:space="preserve"> </w:t>
            </w:r>
            <w:r>
              <w:t>(no</w:t>
            </w:r>
            <w:r w:rsidR="00547DF7" w:rsidRPr="003328D4">
              <w:t xml:space="preserve"> </w:t>
            </w:r>
            <w:r>
              <w:t xml:space="preserve">floating </w:t>
            </w:r>
            <w:r w:rsidR="00547DF7" w:rsidRPr="003328D4">
              <w:t xml:space="preserve">solids, </w:t>
            </w:r>
            <w:r>
              <w:t xml:space="preserve">visible sheen, </w:t>
            </w:r>
            <w:r w:rsidR="00547DF7" w:rsidRPr="003328D4">
              <w:t>discolouration etc</w:t>
            </w:r>
            <w:r>
              <w:t>.</w:t>
            </w:r>
            <w:r w:rsidR="00547DF7" w:rsidRPr="003328D4">
              <w:t>)</w:t>
            </w:r>
          </w:p>
          <w:p w14:paraId="66F13C59" w14:textId="77777777" w:rsidR="00145331" w:rsidRDefault="00145331" w:rsidP="00145331">
            <w:r>
              <w:t>- in compliance with Local Regulations</w:t>
            </w:r>
          </w:p>
        </w:tc>
      </w:tr>
      <w:tr w:rsidR="005A5889" w14:paraId="69BDDBE8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79BD376" w14:textId="77777777" w:rsidR="005A5889" w:rsidRPr="00D2334B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Loading of provisions/ luggage</w:t>
            </w:r>
            <w:r w:rsidR="005A5889">
              <w:tab/>
            </w:r>
            <w:r>
              <w:t>chec</w:t>
            </w:r>
            <w:r w:rsidR="005A5889">
              <w:t>ked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000C0F91" w14:textId="77777777" w:rsidR="005A5889" w:rsidRDefault="005A5889" w:rsidP="00BF5C70"/>
        </w:tc>
      </w:tr>
      <w:tr w:rsidR="005A5889" w14:paraId="411B53A2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3AA2FE5" w14:textId="77777777"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Additional comments/ special operations</w:t>
            </w:r>
            <w:r w:rsidR="005A5889">
              <w:tab/>
            </w:r>
            <w:r>
              <w:t>briefed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22FC38CA" w14:textId="77777777" w:rsidR="005A5889" w:rsidRDefault="005A5889" w:rsidP="00BF5C70"/>
        </w:tc>
      </w:tr>
      <w:tr w:rsidR="005A5889" w14:paraId="7B570C36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06434CF" w14:textId="77777777"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All onboard times</w:t>
            </w:r>
            <w:r w:rsidR="005A5889">
              <w:tab/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2F4AC390" w14:textId="77777777" w:rsidR="005A5889" w:rsidRDefault="00145331" w:rsidP="00BF5C70">
            <w:r>
              <w:t>Passengers:</w:t>
            </w:r>
          </w:p>
          <w:p w14:paraId="623D4766" w14:textId="77777777" w:rsidR="00145331" w:rsidRDefault="00145331" w:rsidP="00BF5C70">
            <w:r>
              <w:t>Crew:</w:t>
            </w:r>
          </w:p>
          <w:p w14:paraId="63E8F6F5" w14:textId="77777777" w:rsidR="00145331" w:rsidRDefault="00145331" w:rsidP="00BF5C70">
            <w:r>
              <w:t>Tours:</w:t>
            </w:r>
          </w:p>
        </w:tc>
      </w:tr>
      <w:tr w:rsidR="005A5889" w14:paraId="3261350C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57C7372" w14:textId="77777777"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40"/>
              </w:tabs>
            </w:pPr>
            <w:r>
              <w:t>Departure time</w:t>
            </w:r>
            <w:r w:rsidR="005A5889">
              <w:tab/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2265B1C2" w14:textId="77777777" w:rsidR="005A5889" w:rsidRDefault="005A5889" w:rsidP="00BF5C70"/>
        </w:tc>
      </w:tr>
      <w:tr w:rsidR="005A5889" w14:paraId="149FC6A1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63CD178" w14:textId="77777777" w:rsidR="005A5889" w:rsidRPr="00145331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145331">
              <w:t>Security status and measures</w:t>
            </w:r>
            <w:r>
              <w:tab/>
            </w:r>
            <w:r w:rsidRPr="00145331">
              <w:t>in place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763CC6B3" w14:textId="77777777" w:rsidR="005A5889" w:rsidRDefault="005A5889" w:rsidP="00BF5C70"/>
        </w:tc>
      </w:tr>
      <w:tr w:rsidR="005A5889" w14:paraId="6FA0123D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093BCDE" w14:textId="77777777" w:rsidR="005A5889" w:rsidRPr="00C27B2F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BWNAS</w:t>
            </w:r>
            <w:r w:rsidR="005A5889">
              <w:tab/>
            </w:r>
            <w:r>
              <w:t>checked &amp;operational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4EC17B32" w14:textId="77777777" w:rsidR="005A5889" w:rsidRDefault="005A5889" w:rsidP="00BF5C70"/>
        </w:tc>
      </w:tr>
      <w:tr w:rsidR="005A5889" w14:paraId="4A50251C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AE8AFA2" w14:textId="77777777"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7BA6D541" w14:textId="77777777" w:rsidR="005A5889" w:rsidRDefault="005A5889" w:rsidP="00BF5C70"/>
        </w:tc>
      </w:tr>
      <w:tr w:rsidR="005A5889" w14:paraId="1764D8C2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FAC7ECE" w14:textId="77777777"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1789AAA9" w14:textId="77777777" w:rsidR="005A5889" w:rsidRDefault="005A5889" w:rsidP="00BF5C70"/>
        </w:tc>
      </w:tr>
      <w:tr w:rsidR="005A5889" w14:paraId="4712CAF1" w14:textId="77777777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2DC4945" w14:textId="77777777" w:rsidR="005A5889" w:rsidRPr="00E7355B" w:rsidRDefault="005A5889" w:rsidP="00E7355B">
            <w:pPr>
              <w:pStyle w:val="FirstLevel"/>
              <w:tabs>
                <w:tab w:val="clear" w:pos="9106"/>
                <w:tab w:val="right" w:leader="dot" w:pos="5040"/>
              </w:tabs>
            </w:pPr>
            <w:r>
              <w:t>Completion of checklist</w:t>
            </w:r>
            <w:r>
              <w:tab/>
            </w:r>
            <w:r w:rsidRPr="00E7355B">
              <w:t xml:space="preserve">recorded in the </w:t>
            </w:r>
            <w:proofErr w:type="gramStart"/>
            <w:r w:rsidRPr="00E7355B">
              <w:t>Log Book</w:t>
            </w:r>
            <w:proofErr w:type="gramEnd"/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14:paraId="27F397C9" w14:textId="77777777" w:rsidR="005A5889" w:rsidRDefault="005A5889" w:rsidP="00BF5C70"/>
        </w:tc>
      </w:tr>
    </w:tbl>
    <w:p w14:paraId="37005FFC" w14:textId="77777777"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244787">
        <w:rPr>
          <w:lang w:val="en-US"/>
        </w:rPr>
        <w:t xml:space="preserve">The Master shall report to relevant Authorities and Company any </w:t>
      </w:r>
      <w:proofErr w:type="spellStart"/>
      <w:r w:rsidR="00244787">
        <w:rPr>
          <w:lang w:val="en-US"/>
        </w:rPr>
        <w:t>HazOcc</w:t>
      </w:r>
      <w:proofErr w:type="spellEnd"/>
      <w:r w:rsidR="00244787">
        <w:rPr>
          <w:lang w:val="en-US"/>
        </w:rPr>
        <w:t xml:space="preserve"> affecting the ship safety or situations that may lead to pollution</w:t>
      </w:r>
    </w:p>
    <w:p w14:paraId="246F179F" w14:textId="77777777" w:rsidR="00F40362" w:rsidRDefault="00F40362" w:rsidP="00BF5C70"/>
    <w:p w14:paraId="54E9F6C4" w14:textId="77777777" w:rsidR="00F40362" w:rsidRDefault="00F40362" w:rsidP="00BF5C70"/>
    <w:p w14:paraId="2EACAC66" w14:textId="77777777" w:rsidR="00466E1F" w:rsidRDefault="00E7355B" w:rsidP="00BF5C70">
      <w:r>
        <w:t>Handing over OO</w:t>
      </w:r>
      <w:r w:rsidR="00A82812">
        <w:t>W: ...........................................</w:t>
      </w:r>
      <w:r w:rsidR="00A82812">
        <w:tab/>
      </w:r>
      <w:r w:rsidR="00A82812">
        <w:tab/>
      </w:r>
      <w:r w:rsidR="00A82812">
        <w:tab/>
      </w:r>
      <w:r>
        <w:t>Relieving OOW</w:t>
      </w:r>
      <w:r w:rsidR="00A82812">
        <w:t>: ......................................</w:t>
      </w:r>
    </w:p>
    <w:sectPr w:rsidR="00466E1F" w:rsidSect="007F6FAD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9" w:right="1020" w:bottom="851" w:left="1440" w:header="180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90AA0" w14:textId="77777777" w:rsidR="00E121A1" w:rsidRDefault="00E121A1" w:rsidP="003A4324">
      <w:r>
        <w:separator/>
      </w:r>
    </w:p>
  </w:endnote>
  <w:endnote w:type="continuationSeparator" w:id="0">
    <w:p w14:paraId="3499900A" w14:textId="77777777" w:rsidR="00E121A1" w:rsidRDefault="00E121A1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14929D8F" w14:textId="77777777" w:rsidTr="000C5A31">
      <w:tc>
        <w:tcPr>
          <w:tcW w:w="567" w:type="dxa"/>
          <w:shd w:val="clear" w:color="auto" w:fill="auto"/>
        </w:tcPr>
        <w:p w14:paraId="3CFDCD44" w14:textId="77777777" w:rsidR="00A56BF5" w:rsidRPr="0089041A" w:rsidRDefault="00B275D0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6FB88351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57B3366A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080"/>
      <w:gridCol w:w="1559"/>
    </w:tblGrid>
    <w:tr w:rsidR="001E0A3D" w:rsidRPr="001E0A3D" w14:paraId="305267BA" w14:textId="77777777" w:rsidTr="0003320B">
      <w:tc>
        <w:tcPr>
          <w:tcW w:w="808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2C2883F7" w14:textId="7C378E4A" w:rsidR="001E0A3D" w:rsidRPr="001E0A3D" w:rsidRDefault="001E0A3D" w:rsidP="00D760A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372C6C">
            <w:rPr>
              <w:rFonts w:cs="Arial"/>
              <w:spacing w:val="-2"/>
              <w:sz w:val="18"/>
            </w:rPr>
            <w:t>1.0 (11/20)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295B582C" w14:textId="77777777" w:rsidR="001E0A3D" w:rsidRPr="001E0A3D" w:rsidRDefault="001E0A3D" w:rsidP="001E0A3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1E0A3D">
            <w:rPr>
              <w:rFonts w:cs="Arial"/>
              <w:spacing w:val="-2"/>
              <w:sz w:val="18"/>
            </w:rPr>
            <w:t xml:space="preserve">Page </w:t>
          </w:r>
          <w:r w:rsidRPr="001E0A3D">
            <w:rPr>
              <w:rFonts w:cs="Arial"/>
              <w:spacing w:val="-2"/>
              <w:sz w:val="18"/>
            </w:rPr>
            <w:fldChar w:fldCharType="begin"/>
          </w:r>
          <w:r w:rsidRPr="001E0A3D">
            <w:rPr>
              <w:rFonts w:cs="Arial"/>
              <w:spacing w:val="-2"/>
              <w:sz w:val="18"/>
            </w:rPr>
            <w:instrText>page \* arabic</w:instrText>
          </w:r>
          <w:r w:rsidRPr="001E0A3D">
            <w:rPr>
              <w:rFonts w:cs="Arial"/>
              <w:spacing w:val="-2"/>
              <w:sz w:val="18"/>
            </w:rPr>
            <w:fldChar w:fldCharType="separate"/>
          </w:r>
          <w:r w:rsidR="00D760A5">
            <w:rPr>
              <w:rFonts w:cs="Arial"/>
              <w:noProof/>
              <w:spacing w:val="-2"/>
              <w:sz w:val="18"/>
            </w:rPr>
            <w:t>1</w:t>
          </w:r>
          <w:r w:rsidRPr="001E0A3D">
            <w:rPr>
              <w:rFonts w:cs="Arial"/>
              <w:spacing w:val="-2"/>
              <w:sz w:val="18"/>
            </w:rPr>
            <w:fldChar w:fldCharType="end"/>
          </w:r>
          <w:r w:rsidRPr="001E0A3D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14:paraId="646218F2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3D59B" w14:textId="77777777" w:rsidR="00E121A1" w:rsidRDefault="00E121A1" w:rsidP="003A4324">
      <w:r>
        <w:separator/>
      </w:r>
    </w:p>
  </w:footnote>
  <w:footnote w:type="continuationSeparator" w:id="0">
    <w:p w14:paraId="6B065F0B" w14:textId="77777777" w:rsidR="00E121A1" w:rsidRDefault="00E121A1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14:paraId="7BF0CFD7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1373265A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4393109B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60625A86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14:paraId="19CA90BF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49AB5943" w14:textId="77777777" w:rsidR="00A56BF5" w:rsidRPr="00B80966" w:rsidRDefault="003E5A45" w:rsidP="003F6379">
          <w:pPr>
            <w:pStyle w:val="SectionHeading"/>
          </w:pPr>
          <w:r>
            <w:t>saf2</w:t>
          </w:r>
          <w:r w:rsidR="009D0CA4">
            <w:t>9</w:t>
          </w:r>
          <w:r w:rsidR="00EA0B63">
            <w:t xml:space="preserve"> (silver m</w:t>
          </w:r>
          <w:r w:rsidR="003F6379">
            <w:t>OON</w:t>
          </w:r>
          <w:r w:rsidR="00EA0B63">
            <w:t>)</w:t>
          </w:r>
          <w:r>
            <w:t xml:space="preserve"> – bridge </w:t>
          </w:r>
          <w:r w:rsidR="009D0CA4">
            <w:t>port</w:t>
          </w:r>
          <w:r w:rsidR="00482C01">
            <w:t xml:space="preserve">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4D8C489D" w14:textId="77777777" w:rsidR="00A56BF5" w:rsidRPr="00B80966" w:rsidRDefault="00A56BF5" w:rsidP="006C376E">
          <w:pPr>
            <w:pStyle w:val="SectionHeading"/>
          </w:pPr>
        </w:p>
      </w:tc>
    </w:tr>
  </w:tbl>
  <w:p w14:paraId="0B1F9D79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AFA"/>
    <w:rsid w:val="000150C7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61593"/>
    <w:rsid w:val="00074491"/>
    <w:rsid w:val="000807B4"/>
    <w:rsid w:val="00090968"/>
    <w:rsid w:val="000A52B9"/>
    <w:rsid w:val="000B09A1"/>
    <w:rsid w:val="000B2230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5331"/>
    <w:rsid w:val="00146A17"/>
    <w:rsid w:val="001508F1"/>
    <w:rsid w:val="00160141"/>
    <w:rsid w:val="0016096E"/>
    <w:rsid w:val="001702BE"/>
    <w:rsid w:val="001722B7"/>
    <w:rsid w:val="00173789"/>
    <w:rsid w:val="00177380"/>
    <w:rsid w:val="00185CB4"/>
    <w:rsid w:val="001906D5"/>
    <w:rsid w:val="001A608C"/>
    <w:rsid w:val="001B3ACD"/>
    <w:rsid w:val="001B3F98"/>
    <w:rsid w:val="001B4CEF"/>
    <w:rsid w:val="001C341E"/>
    <w:rsid w:val="001C6532"/>
    <w:rsid w:val="001D4923"/>
    <w:rsid w:val="001D5BDF"/>
    <w:rsid w:val="001E0A3D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44787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20AF"/>
    <w:rsid w:val="002F3D1D"/>
    <w:rsid w:val="002F4E09"/>
    <w:rsid w:val="002F5830"/>
    <w:rsid w:val="002F7AF2"/>
    <w:rsid w:val="00301F0C"/>
    <w:rsid w:val="003139C0"/>
    <w:rsid w:val="00334217"/>
    <w:rsid w:val="00345307"/>
    <w:rsid w:val="00346D2F"/>
    <w:rsid w:val="00347CF0"/>
    <w:rsid w:val="00372C6C"/>
    <w:rsid w:val="0037413C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3F6379"/>
    <w:rsid w:val="00403671"/>
    <w:rsid w:val="00406B66"/>
    <w:rsid w:val="0040715B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B45FD"/>
    <w:rsid w:val="004C20A5"/>
    <w:rsid w:val="004D1D48"/>
    <w:rsid w:val="004D243A"/>
    <w:rsid w:val="004D5161"/>
    <w:rsid w:val="004E011D"/>
    <w:rsid w:val="004E4007"/>
    <w:rsid w:val="005222F9"/>
    <w:rsid w:val="00526D6C"/>
    <w:rsid w:val="00533589"/>
    <w:rsid w:val="00535399"/>
    <w:rsid w:val="00542398"/>
    <w:rsid w:val="00547DF7"/>
    <w:rsid w:val="00553270"/>
    <w:rsid w:val="005932C8"/>
    <w:rsid w:val="00593B6D"/>
    <w:rsid w:val="005A5889"/>
    <w:rsid w:val="005B1576"/>
    <w:rsid w:val="005B4B19"/>
    <w:rsid w:val="005D1F7E"/>
    <w:rsid w:val="005D351D"/>
    <w:rsid w:val="00606C50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A7C37"/>
    <w:rsid w:val="006B5779"/>
    <w:rsid w:val="006C01E7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59CE"/>
    <w:rsid w:val="007F6FAD"/>
    <w:rsid w:val="007F718B"/>
    <w:rsid w:val="00811380"/>
    <w:rsid w:val="00824655"/>
    <w:rsid w:val="008247C6"/>
    <w:rsid w:val="008379B6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C061F"/>
    <w:rsid w:val="009D0847"/>
    <w:rsid w:val="009D0CA4"/>
    <w:rsid w:val="009E074C"/>
    <w:rsid w:val="009F20D4"/>
    <w:rsid w:val="00A012A5"/>
    <w:rsid w:val="00A13A96"/>
    <w:rsid w:val="00A2217C"/>
    <w:rsid w:val="00A27CE1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17CF0"/>
    <w:rsid w:val="00B23008"/>
    <w:rsid w:val="00B231AE"/>
    <w:rsid w:val="00B274DB"/>
    <w:rsid w:val="00B275D0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B7745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2C36"/>
    <w:rsid w:val="00CC2E91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4E0A"/>
    <w:rsid w:val="00D66303"/>
    <w:rsid w:val="00D706FD"/>
    <w:rsid w:val="00D70BDA"/>
    <w:rsid w:val="00D73018"/>
    <w:rsid w:val="00D7484C"/>
    <w:rsid w:val="00D74EBB"/>
    <w:rsid w:val="00D760A5"/>
    <w:rsid w:val="00D8664A"/>
    <w:rsid w:val="00D908B0"/>
    <w:rsid w:val="00DA1E56"/>
    <w:rsid w:val="00DB539C"/>
    <w:rsid w:val="00DC4C94"/>
    <w:rsid w:val="00DC6C29"/>
    <w:rsid w:val="00DD571E"/>
    <w:rsid w:val="00DD630E"/>
    <w:rsid w:val="00DE77A3"/>
    <w:rsid w:val="00E10793"/>
    <w:rsid w:val="00E121A1"/>
    <w:rsid w:val="00E14421"/>
    <w:rsid w:val="00E269B2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976A7"/>
    <w:rsid w:val="00EA0B63"/>
    <w:rsid w:val="00EB5087"/>
    <w:rsid w:val="00EE43D8"/>
    <w:rsid w:val="00F04DF9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C7DCB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D08DED"/>
  <w15:docId w15:val="{6475A39B-F8CE-47A1-856C-F4826161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78D60-EFF7-4B88-9DA0-0C1082AB8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4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6</cp:revision>
  <cp:lastPrinted>2014-06-17T18:34:00Z</cp:lastPrinted>
  <dcterms:created xsi:type="dcterms:W3CDTF">2018-04-17T10:34:00Z</dcterms:created>
  <dcterms:modified xsi:type="dcterms:W3CDTF">2021-02-22T14:24:00Z</dcterms:modified>
</cp:coreProperties>
</file>