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7470"/>
      </w:tblGrid>
      <w:tr w:rsidR="00CB6F7F" w:rsidRPr="002645AF" w14:paraId="6463C565" w14:textId="77777777" w:rsidTr="5624DB1E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5854B3A" w14:textId="519A97AA" w:rsidR="00CB6F7F" w:rsidRPr="002645AF" w:rsidRDefault="00440D98" w:rsidP="007F4FE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bookmarkStart w:id="1" w:name="_Hlk52788655"/>
            <w:r>
              <w:rPr>
                <w:b/>
                <w:bCs/>
                <w:sz w:val="28"/>
                <w:szCs w:val="28"/>
              </w:rPr>
              <w:t>SS</w:t>
            </w:r>
            <w:r w:rsidR="00CB6F7F" w:rsidRPr="002645AF">
              <w:rPr>
                <w:b/>
                <w:bCs/>
                <w:sz w:val="28"/>
                <w:szCs w:val="28"/>
              </w:rPr>
              <w:t>MED-</w:t>
            </w:r>
            <w:r w:rsidR="00693001">
              <w:rPr>
                <w:b/>
                <w:bCs/>
                <w:sz w:val="28"/>
                <w:szCs w:val="28"/>
              </w:rPr>
              <w:t>1001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A3B501" w14:textId="2B17E853" w:rsidR="00CB6F7F" w:rsidRPr="002645AF" w:rsidRDefault="00693001" w:rsidP="007F4FE3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General</w:t>
            </w:r>
          </w:p>
        </w:tc>
      </w:tr>
      <w:tr w:rsidR="00CB6F7F" w:rsidRPr="002645AF" w14:paraId="219E2CF9" w14:textId="77777777" w:rsidTr="5624DB1E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8B252" w14:textId="77777777" w:rsidR="00CB6F7F" w:rsidRPr="002645AF" w:rsidRDefault="00CB6F7F" w:rsidP="007F4FE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DCC95" w14:textId="77777777" w:rsidR="00CB6F7F" w:rsidRPr="002645AF" w:rsidRDefault="00CB6F7F" w:rsidP="007F4FE3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CB6F7F" w:rsidRPr="002645AF" w14:paraId="43192EF9" w14:textId="77777777" w:rsidTr="5624DB1E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C3012D0" w14:textId="77777777" w:rsidR="00CB6F7F" w:rsidRPr="002645AF" w:rsidRDefault="00CB6F7F" w:rsidP="007F4FE3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4EA4E7" w14:textId="77777777" w:rsidR="00CB6F7F" w:rsidRPr="002645AF" w:rsidRDefault="00CB6F7F" w:rsidP="007F4FE3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  <w:bookmarkEnd w:id="1"/>
    </w:tbl>
    <w:p w14:paraId="75A09063" w14:textId="77777777" w:rsidR="00CB6F7F" w:rsidRPr="005C6514" w:rsidRDefault="00CB6F7F" w:rsidP="008B2DE2">
      <w:pPr>
        <w:spacing w:after="0" w:line="240" w:lineRule="auto"/>
        <w:rPr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659"/>
      </w:tblGrid>
      <w:tr w:rsidR="00397309" w:rsidRPr="000A2962" w14:paraId="3BCCAB11" w14:textId="77777777" w:rsidTr="044C204B">
        <w:tc>
          <w:tcPr>
            <w:tcW w:w="699" w:type="dxa"/>
            <w:shd w:val="clear" w:color="auto" w:fill="auto"/>
          </w:tcPr>
          <w:p w14:paraId="4E1503AB" w14:textId="77777777" w:rsidR="00397309" w:rsidRPr="007F4FE3" w:rsidRDefault="00397309" w:rsidP="007F4FE3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0"/>
              <w:rPr>
                <w:rFonts w:eastAsia="Yu Mincho" w:cs="Arial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auto"/>
          </w:tcPr>
          <w:p w14:paraId="6E7BA585" w14:textId="37F04731" w:rsidR="00397309" w:rsidRPr="005C08DF" w:rsidRDefault="00DF38DC" w:rsidP="00397309">
            <w:pPr>
              <w:spacing w:after="120" w:line="240" w:lineRule="auto"/>
              <w:rPr>
                <w:rFonts w:eastAsia="Yu Mincho" w:cs="Arial"/>
                <w:b/>
                <w:bCs/>
                <w:sz w:val="24"/>
                <w:szCs w:val="24"/>
              </w:rPr>
            </w:pPr>
            <w:r w:rsidRPr="005C08DF">
              <w:rPr>
                <w:rFonts w:eastAsia="Yu Mincho" w:cs="Arial"/>
                <w:b/>
                <w:bCs/>
                <w:sz w:val="24"/>
                <w:szCs w:val="24"/>
              </w:rPr>
              <w:t xml:space="preserve">Overall </w:t>
            </w:r>
            <w:r w:rsidR="00397309" w:rsidRPr="005C08DF">
              <w:rPr>
                <w:rFonts w:eastAsia="Yu Mincho" w:cs="Arial"/>
                <w:b/>
                <w:bCs/>
                <w:sz w:val="24"/>
                <w:szCs w:val="24"/>
              </w:rPr>
              <w:t>Medical Management Responsibilities</w:t>
            </w:r>
          </w:p>
          <w:p w14:paraId="7BA44AD2" w14:textId="6FA5CAF2" w:rsidR="00397309" w:rsidRPr="005C08DF" w:rsidRDefault="009B4DAA" w:rsidP="00397309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 xml:space="preserve">1.1 </w:t>
            </w:r>
            <w:r w:rsidR="00397309" w:rsidRPr="005C08DF">
              <w:rPr>
                <w:rFonts w:eastAsia="Yu Mincho" w:cs="Arial"/>
                <w:sz w:val="24"/>
                <w:szCs w:val="24"/>
              </w:rPr>
              <w:t>Silversea Management is responsible for:</w:t>
            </w:r>
          </w:p>
          <w:p w14:paraId="68D74BBA" w14:textId="77777777" w:rsidR="00397309" w:rsidRPr="005C08DF" w:rsidRDefault="00397309" w:rsidP="00C37524">
            <w:pPr>
              <w:numPr>
                <w:ilvl w:val="0"/>
                <w:numId w:val="30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Overall review and approval of all medical procedures.</w:t>
            </w:r>
          </w:p>
          <w:p w14:paraId="26811F13" w14:textId="77777777" w:rsidR="00397309" w:rsidRPr="005C08DF" w:rsidRDefault="00397309" w:rsidP="00C37524">
            <w:pPr>
              <w:numPr>
                <w:ilvl w:val="0"/>
                <w:numId w:val="30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Presenting Vikand medical procedures to vessels as a formal instruction and as part of the SMS.</w:t>
            </w:r>
          </w:p>
          <w:p w14:paraId="4291E316" w14:textId="77777777" w:rsidR="00397309" w:rsidRPr="005C08DF" w:rsidRDefault="00397309" w:rsidP="00C37524">
            <w:pPr>
              <w:numPr>
                <w:ilvl w:val="0"/>
                <w:numId w:val="30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Assigning the Doctor and medical staff with instruction to comply with the Vikand medical procedures.</w:t>
            </w:r>
          </w:p>
          <w:p w14:paraId="71C18BE5" w14:textId="594F144B" w:rsidR="00397309" w:rsidRPr="005C08DF" w:rsidRDefault="00397309" w:rsidP="00C37524">
            <w:pPr>
              <w:numPr>
                <w:ilvl w:val="0"/>
                <w:numId w:val="30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Communicating any amendments to the Vikand medical procedures to the vessel and medical staff.</w:t>
            </w:r>
          </w:p>
          <w:p w14:paraId="49CA6C2B" w14:textId="4E56E0F9" w:rsidR="009B4DAA" w:rsidRPr="005C08DF" w:rsidRDefault="009B4DAA" w:rsidP="00C37524">
            <w:pPr>
              <w:numPr>
                <w:ilvl w:val="0"/>
                <w:numId w:val="30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Public Health and Infection Control procedures.</w:t>
            </w:r>
          </w:p>
          <w:p w14:paraId="27ABE5F0" w14:textId="77777777" w:rsidR="00397309" w:rsidRPr="005C08DF" w:rsidRDefault="00397309" w:rsidP="00397309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</w:p>
          <w:p w14:paraId="257FC624" w14:textId="5413881A" w:rsidR="00397309" w:rsidRPr="005C08DF" w:rsidRDefault="009B4DAA" w:rsidP="00397309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 xml:space="preserve">1.2 </w:t>
            </w:r>
            <w:r w:rsidR="00397309" w:rsidRPr="005C08DF">
              <w:rPr>
                <w:rFonts w:eastAsia="Yu Mincho" w:cs="Arial"/>
                <w:sz w:val="24"/>
                <w:szCs w:val="24"/>
              </w:rPr>
              <w:t xml:space="preserve">Vikand </w:t>
            </w:r>
            <w:r w:rsidRPr="005C08DF">
              <w:rPr>
                <w:rFonts w:eastAsia="Yu Mincho" w:cs="Arial"/>
                <w:sz w:val="24"/>
                <w:szCs w:val="24"/>
              </w:rPr>
              <w:t xml:space="preserve">Solutions </w:t>
            </w:r>
            <w:r w:rsidR="00397309" w:rsidRPr="005C08DF">
              <w:rPr>
                <w:rFonts w:eastAsia="Yu Mincho" w:cs="Arial"/>
                <w:sz w:val="24"/>
                <w:szCs w:val="24"/>
              </w:rPr>
              <w:t>is responsible for:</w:t>
            </w:r>
          </w:p>
          <w:p w14:paraId="31E11D42" w14:textId="77777777" w:rsidR="00397309" w:rsidRPr="005C08DF" w:rsidRDefault="00397309" w:rsidP="00C37524">
            <w:pPr>
              <w:numPr>
                <w:ilvl w:val="0"/>
                <w:numId w:val="31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Presenting medical operational procedures to Silversea for inclusion in the SMS.</w:t>
            </w:r>
          </w:p>
          <w:p w14:paraId="242C4013" w14:textId="77777777" w:rsidR="00397309" w:rsidRPr="005C08DF" w:rsidRDefault="00397309" w:rsidP="00C37524">
            <w:pPr>
              <w:numPr>
                <w:ilvl w:val="0"/>
                <w:numId w:val="31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Maintaining medical procedures in line with medical best practices and updating Silversea Management as required.</w:t>
            </w:r>
          </w:p>
          <w:p w14:paraId="50A2DD3C" w14:textId="77777777" w:rsidR="00397309" w:rsidRPr="005C08DF" w:rsidRDefault="00397309" w:rsidP="00C37524">
            <w:pPr>
              <w:numPr>
                <w:ilvl w:val="0"/>
                <w:numId w:val="31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Training the medical staff in the use and implementation of Vikand Medical Procedures.</w:t>
            </w:r>
          </w:p>
          <w:p w14:paraId="130E39D1" w14:textId="77777777" w:rsidR="00397309" w:rsidRPr="005C08DF" w:rsidRDefault="00397309" w:rsidP="00C37524">
            <w:pPr>
              <w:numPr>
                <w:ilvl w:val="0"/>
                <w:numId w:val="31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Management of the medical equipment (as per contract), including calibration and certification, remedial repairs, inventories, and service records.</w:t>
            </w:r>
          </w:p>
          <w:p w14:paraId="1D757AEA" w14:textId="4EA7D091" w:rsidR="00397309" w:rsidRPr="005C08DF" w:rsidRDefault="00397309" w:rsidP="00397309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</w:p>
          <w:p w14:paraId="7969B078" w14:textId="0D9437DD" w:rsidR="00397309" w:rsidRPr="005C08DF" w:rsidRDefault="009B4DAA" w:rsidP="00397309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 xml:space="preserve">1.3 </w:t>
            </w:r>
            <w:r w:rsidR="00397309" w:rsidRPr="005C08DF">
              <w:rPr>
                <w:rFonts w:eastAsia="Yu Mincho" w:cs="Arial"/>
                <w:sz w:val="24"/>
                <w:szCs w:val="24"/>
              </w:rPr>
              <w:t>Ship’s Doctor is responsible for (see SSMED-1002 for full responsibilities):</w:t>
            </w:r>
          </w:p>
          <w:p w14:paraId="66A3DC0F" w14:textId="77777777" w:rsidR="00397309" w:rsidRPr="005C08DF" w:rsidRDefault="00397309" w:rsidP="00C37524">
            <w:pPr>
              <w:numPr>
                <w:ilvl w:val="0"/>
                <w:numId w:val="32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Implementation of the Vikand medical procedures as approved by Silversea.</w:t>
            </w:r>
          </w:p>
          <w:p w14:paraId="373E1E04" w14:textId="77777777" w:rsidR="00397309" w:rsidRPr="005C08DF" w:rsidRDefault="00397309" w:rsidP="00C37524">
            <w:pPr>
              <w:numPr>
                <w:ilvl w:val="0"/>
                <w:numId w:val="32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Ensuring medical staff are both aware and knowledgeable with medical procedures.</w:t>
            </w:r>
          </w:p>
          <w:p w14:paraId="173A89FF" w14:textId="65124EE0" w:rsidR="00397309" w:rsidRPr="00B32861" w:rsidRDefault="00397309" w:rsidP="00C37524">
            <w:pPr>
              <w:numPr>
                <w:ilvl w:val="0"/>
                <w:numId w:val="32"/>
              </w:numPr>
              <w:spacing w:after="120" w:line="240" w:lineRule="auto"/>
              <w:rPr>
                <w:rFonts w:eastAsia="Yu Mincho" w:cs="Arial"/>
                <w:b/>
                <w:bCs/>
                <w:sz w:val="24"/>
                <w:szCs w:val="24"/>
              </w:rPr>
            </w:pPr>
            <w:r w:rsidRPr="005C08DF">
              <w:rPr>
                <w:rFonts w:eastAsia="Yu Mincho" w:cs="Arial"/>
                <w:sz w:val="24"/>
                <w:szCs w:val="24"/>
              </w:rPr>
              <w:t>Shipboard compliance with the medical procedures.</w:t>
            </w:r>
          </w:p>
        </w:tc>
      </w:tr>
      <w:tr w:rsidR="00BE72D1" w:rsidRPr="000A2962" w14:paraId="3CBE3BFF" w14:textId="77777777" w:rsidTr="044C204B">
        <w:tc>
          <w:tcPr>
            <w:tcW w:w="699" w:type="dxa"/>
            <w:shd w:val="clear" w:color="auto" w:fill="auto"/>
          </w:tcPr>
          <w:p w14:paraId="2BD02652" w14:textId="77777777" w:rsidR="00BE72D1" w:rsidRPr="007F4FE3" w:rsidRDefault="00BE72D1" w:rsidP="007F4FE3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0"/>
              <w:rPr>
                <w:rFonts w:eastAsia="Yu Mincho" w:cs="Arial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auto"/>
          </w:tcPr>
          <w:p w14:paraId="6B5AD11B" w14:textId="62EADCF1" w:rsidR="009C553E" w:rsidRPr="007F4FE3" w:rsidRDefault="009C553E" w:rsidP="000A2962">
            <w:pPr>
              <w:spacing w:after="120" w:line="240" w:lineRule="auto"/>
              <w:rPr>
                <w:rFonts w:eastAsia="Yu Mincho" w:cs="Arial"/>
                <w:b/>
                <w:bCs/>
                <w:sz w:val="24"/>
                <w:szCs w:val="24"/>
              </w:rPr>
            </w:pPr>
            <w:r w:rsidRPr="007F4FE3">
              <w:rPr>
                <w:rFonts w:eastAsia="Yu Mincho" w:cs="Arial"/>
                <w:b/>
                <w:bCs/>
                <w:sz w:val="24"/>
                <w:szCs w:val="24"/>
              </w:rPr>
              <w:t>General Requirements for all medical staff:</w:t>
            </w:r>
          </w:p>
          <w:p w14:paraId="1614F74A" w14:textId="391E788D" w:rsidR="007F4FE3" w:rsidRPr="007F4FE3" w:rsidRDefault="009B4DAA" w:rsidP="009B4DAA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>
              <w:rPr>
                <w:rFonts w:eastAsia="Yu Mincho" w:cs="Arial"/>
                <w:color w:val="000000"/>
                <w:sz w:val="24"/>
                <w:szCs w:val="24"/>
              </w:rPr>
              <w:t xml:space="preserve">2.1 </w:t>
            </w:r>
            <w:r w:rsidR="009C553E" w:rsidRPr="007F4FE3">
              <w:rPr>
                <w:rFonts w:eastAsia="Yu Mincho" w:cs="Arial"/>
                <w:color w:val="000000"/>
                <w:sz w:val="24"/>
                <w:szCs w:val="24"/>
              </w:rPr>
              <w:t xml:space="preserve">The medical center staff will be available 24 hours per day for emergencies. Hours of clinic operation will be posted with specific hours designated for the treatment of </w:t>
            </w:r>
            <w:r w:rsidR="00F57687" w:rsidRPr="007F4FE3">
              <w:rPr>
                <w:rFonts w:eastAsia="Yu Mincho" w:cs="Arial"/>
                <w:color w:val="000000"/>
                <w:sz w:val="24"/>
                <w:szCs w:val="24"/>
              </w:rPr>
              <w:t>guests and</w:t>
            </w:r>
            <w:r w:rsidR="009C553E" w:rsidRPr="007F4FE3">
              <w:rPr>
                <w:rFonts w:eastAsia="Yu Mincho" w:cs="Arial"/>
                <w:color w:val="000000"/>
                <w:sz w:val="24"/>
                <w:szCs w:val="24"/>
              </w:rPr>
              <w:t xml:space="preserve"> crew. A Ship’s Doctor or Nurse must be onboard at any given time.</w:t>
            </w:r>
          </w:p>
          <w:p w14:paraId="3D5F9CBD" w14:textId="38AB8237" w:rsidR="007F4FE3" w:rsidRPr="007F4FE3" w:rsidRDefault="009B4DAA" w:rsidP="009B4DAA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2.2 </w:t>
            </w:r>
            <w:r w:rsidR="009C553E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Time and attendance will be accurately recorded according to MLC standards. The </w:t>
            </w:r>
            <w:r w:rsidR="009C553E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lastRenderedPageBreak/>
              <w:t>Ship’s Doctor and Nurse will be responsible for documenting and maintaining their own hours. Any adjustment and approval will be done by the Ship’s Doctor only.</w:t>
            </w:r>
          </w:p>
          <w:p w14:paraId="180CC3BF" w14:textId="2E9C79CA" w:rsidR="009C553E" w:rsidRPr="007F4FE3" w:rsidRDefault="009B4DAA" w:rsidP="009B4DAA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>
              <w:rPr>
                <w:rFonts w:eastAsia="Yu Mincho" w:cs="Arial"/>
                <w:color w:val="000000"/>
                <w:sz w:val="24"/>
                <w:szCs w:val="24"/>
              </w:rPr>
              <w:t xml:space="preserve">2.3 </w:t>
            </w:r>
            <w:r w:rsidR="009C553E" w:rsidRPr="00E34FA9">
              <w:rPr>
                <w:rFonts w:eastAsia="Yu Mincho" w:cs="Arial"/>
                <w:color w:val="000000"/>
                <w:sz w:val="24"/>
                <w:szCs w:val="24"/>
              </w:rPr>
              <w:t xml:space="preserve">When attending a patient in their cabin, whenever possible, two medical officers </w:t>
            </w:r>
            <w:r w:rsidR="738305CE" w:rsidRPr="00E34FA9">
              <w:rPr>
                <w:rFonts w:eastAsia="Yu Mincho" w:cs="Arial"/>
                <w:color w:val="000000"/>
                <w:sz w:val="24"/>
                <w:szCs w:val="24"/>
              </w:rPr>
              <w:t xml:space="preserve">or another designated officer (security </w:t>
            </w:r>
            <w:r w:rsidR="4CF0B274" w:rsidRPr="00E34FA9">
              <w:rPr>
                <w:rFonts w:eastAsia="Yu Mincho" w:cs="Arial"/>
                <w:color w:val="000000"/>
                <w:sz w:val="24"/>
                <w:szCs w:val="24"/>
              </w:rPr>
              <w:t xml:space="preserve">officer) </w:t>
            </w:r>
            <w:r w:rsidR="009C553E" w:rsidRPr="00E34FA9">
              <w:rPr>
                <w:rFonts w:eastAsia="Yu Mincho" w:cs="Arial"/>
                <w:color w:val="000000"/>
                <w:sz w:val="24"/>
                <w:szCs w:val="24"/>
              </w:rPr>
              <w:t>should be present.</w:t>
            </w:r>
          </w:p>
        </w:tc>
      </w:tr>
      <w:tr w:rsidR="006F3C47" w:rsidRPr="000A2962" w14:paraId="1B1670D5" w14:textId="77777777" w:rsidTr="044C204B">
        <w:tc>
          <w:tcPr>
            <w:tcW w:w="699" w:type="dxa"/>
            <w:shd w:val="clear" w:color="auto" w:fill="auto"/>
          </w:tcPr>
          <w:p w14:paraId="11E385FD" w14:textId="10D85798" w:rsidR="006F3C47" w:rsidRPr="007F4FE3" w:rsidRDefault="006F3C47" w:rsidP="007F4FE3">
            <w:pPr>
              <w:numPr>
                <w:ilvl w:val="0"/>
                <w:numId w:val="8"/>
              </w:numPr>
              <w:spacing w:after="120" w:line="240" w:lineRule="auto"/>
              <w:ind w:firstLine="0"/>
              <w:rPr>
                <w:rFonts w:eastAsia="Yu Mincho" w:cs="Arial"/>
                <w:b/>
                <w:bCs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auto"/>
          </w:tcPr>
          <w:p w14:paraId="420841F6" w14:textId="10D82FAA" w:rsidR="006F3C47" w:rsidRPr="007F4FE3" w:rsidRDefault="006F3C47" w:rsidP="000A2962">
            <w:pPr>
              <w:spacing w:after="120" w:line="240" w:lineRule="auto"/>
              <w:rPr>
                <w:rFonts w:eastAsia="Yu Mincho" w:cs="Arial"/>
                <w:b/>
                <w:bCs/>
                <w:sz w:val="24"/>
                <w:szCs w:val="24"/>
              </w:rPr>
            </w:pPr>
            <w:r w:rsidRPr="007F4FE3">
              <w:rPr>
                <w:rFonts w:eastAsia="Yu Mincho" w:cs="Arial"/>
                <w:b/>
                <w:bCs/>
                <w:sz w:val="24"/>
                <w:szCs w:val="24"/>
              </w:rPr>
              <w:t>Consent and Emergencies</w:t>
            </w:r>
          </w:p>
          <w:p w14:paraId="51D75435" w14:textId="29EFF1A3" w:rsidR="007F4FE3" w:rsidRPr="007F4FE3" w:rsidRDefault="009B4DAA" w:rsidP="009B4DAA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3.1 </w:t>
            </w:r>
            <w:r w:rsidR="006F3C47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Consent for Treatment </w:t>
            </w:r>
            <w:r w:rsidR="22EDD58F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for both guest, crew &amp; contractors </w:t>
            </w:r>
            <w:r w:rsidR="006F3C47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will be obtained prior to any medical intervention, except for an emergency where consent cannot be obtained before initiating an emergency intervention.</w:t>
            </w:r>
          </w:p>
          <w:p w14:paraId="5071EE1D" w14:textId="29ABA67B" w:rsidR="55B23D96" w:rsidRDefault="009B4DAA" w:rsidP="009B4DAA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3.2 </w:t>
            </w:r>
            <w:r w:rsidR="55B23D96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Guest and crew will sign a GDPR form ensuring that they are aware on whom may review their notes, storage, retention rates and they have</w:t>
            </w:r>
            <w:r w:rsidR="75A56C24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 the right to be </w:t>
            </w:r>
            <w:r w:rsidR="73C00081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forgotten</w:t>
            </w:r>
            <w:r>
              <w:rPr>
                <w:rFonts w:eastAsia="Yu Mincho" w:cs="Arial"/>
                <w:color w:val="000000" w:themeColor="text1"/>
                <w:sz w:val="24"/>
                <w:szCs w:val="24"/>
              </w:rPr>
              <w:t>.</w:t>
            </w:r>
          </w:p>
          <w:p w14:paraId="4CC646ED" w14:textId="78815440" w:rsidR="006F3C47" w:rsidRPr="007F4FE3" w:rsidRDefault="009B4DAA" w:rsidP="009B4DAA">
            <w:p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>
              <w:rPr>
                <w:rFonts w:eastAsia="Yu Mincho" w:cs="Arial"/>
                <w:color w:val="000000"/>
                <w:sz w:val="24"/>
                <w:szCs w:val="24"/>
              </w:rPr>
              <w:t xml:space="preserve">3.3 </w:t>
            </w:r>
            <w:r w:rsidR="006F3C47" w:rsidRPr="00E34FA9">
              <w:rPr>
                <w:rFonts w:eastAsia="Yu Mincho" w:cs="Arial"/>
                <w:color w:val="000000"/>
                <w:sz w:val="24"/>
                <w:szCs w:val="24"/>
              </w:rPr>
              <w:t>No major surgery, other than a lifesaving intervention will be performed by the Doctor while onboard. · Appropriate minor surgical procedures will be performed by the Doctor when appropriate, including but not limited to:</w:t>
            </w:r>
          </w:p>
          <w:p w14:paraId="6D9BCB7C" w14:textId="10D82FAA" w:rsidR="006F3C47" w:rsidRPr="007F4FE3" w:rsidRDefault="006F3C47" w:rsidP="007F4FE3">
            <w:pPr>
              <w:numPr>
                <w:ilvl w:val="0"/>
                <w:numId w:val="28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7F4FE3">
              <w:rPr>
                <w:rFonts w:eastAsia="Yu Mincho" w:cs="Arial"/>
                <w:color w:val="000000"/>
                <w:sz w:val="24"/>
                <w:szCs w:val="24"/>
              </w:rPr>
              <w:t>Suturing</w:t>
            </w:r>
          </w:p>
          <w:p w14:paraId="0CDA48A4" w14:textId="10D82FAA" w:rsidR="006F3C47" w:rsidRPr="007F4FE3" w:rsidRDefault="006F3C47" w:rsidP="007F4FE3">
            <w:pPr>
              <w:numPr>
                <w:ilvl w:val="0"/>
                <w:numId w:val="28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7F4FE3">
              <w:rPr>
                <w:rFonts w:eastAsia="Yu Mincho" w:cs="Arial"/>
                <w:color w:val="000000"/>
                <w:sz w:val="24"/>
                <w:szCs w:val="24"/>
              </w:rPr>
              <w:t>Incision &amp; Drainage (I&amp;D)</w:t>
            </w:r>
          </w:p>
          <w:p w14:paraId="2D2160F8" w14:textId="10D82FAA" w:rsidR="006F3C47" w:rsidRPr="007F4FE3" w:rsidRDefault="006F3C47" w:rsidP="007F4FE3">
            <w:pPr>
              <w:numPr>
                <w:ilvl w:val="0"/>
                <w:numId w:val="28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007F4FE3">
              <w:rPr>
                <w:rFonts w:eastAsia="Yu Mincho" w:cs="Arial"/>
                <w:color w:val="000000"/>
                <w:sz w:val="24"/>
                <w:szCs w:val="24"/>
              </w:rPr>
              <w:t xml:space="preserve">Wound care and/or debridement </w:t>
            </w:r>
          </w:p>
          <w:p w14:paraId="706CBF30" w14:textId="3CC7F525" w:rsidR="006F3C47" w:rsidRPr="007F4FE3" w:rsidRDefault="006F3C47" w:rsidP="007F4FE3">
            <w:pPr>
              <w:numPr>
                <w:ilvl w:val="0"/>
                <w:numId w:val="28"/>
              </w:numPr>
              <w:spacing w:after="120" w:line="240" w:lineRule="auto"/>
              <w:rPr>
                <w:rFonts w:eastAsia="Yu Mincho" w:cs="Arial"/>
                <w:sz w:val="24"/>
                <w:szCs w:val="24"/>
              </w:rPr>
            </w:pPr>
            <w:r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Ingrown </w:t>
            </w:r>
            <w:r w:rsidR="006B3FEB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toenail</w:t>
            </w:r>
            <w:r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 removal</w:t>
            </w:r>
          </w:p>
          <w:p w14:paraId="5F2FBB37" w14:textId="77777777" w:rsidR="00616F08" w:rsidRPr="00616F08" w:rsidRDefault="3E0DE9F7" w:rsidP="007F4FE3">
            <w:pPr>
              <w:numPr>
                <w:ilvl w:val="0"/>
                <w:numId w:val="28"/>
              </w:numPr>
              <w:spacing w:after="120" w:line="240" w:lineRule="auto"/>
              <w:rPr>
                <w:sz w:val="24"/>
                <w:szCs w:val="24"/>
              </w:rPr>
            </w:pPr>
            <w:r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Emergency Procedures (e.g. chest drains, CVP lines, emergency cric</w:t>
            </w:r>
            <w:r w:rsidR="2C041F2E" w:rsidRPr="658A85E7">
              <w:rPr>
                <w:rFonts w:eastAsia="Yu Mincho" w:cs="Arial"/>
                <w:color w:val="000000" w:themeColor="text1"/>
                <w:sz w:val="24"/>
                <w:szCs w:val="24"/>
              </w:rPr>
              <w:t>othyrotomy).</w:t>
            </w:r>
          </w:p>
          <w:p w14:paraId="19CE516D" w14:textId="241A8D4E" w:rsidR="006F3C47" w:rsidRPr="009B4DAA" w:rsidRDefault="009B4DAA" w:rsidP="658A85E7">
            <w:pPr>
              <w:spacing w:after="120" w:line="240" w:lineRule="auto"/>
              <w:rPr>
                <w:rFonts w:eastAsia="Yu Mincho" w:cs="Arial"/>
                <w:color w:val="000000" w:themeColor="text1"/>
                <w:sz w:val="24"/>
                <w:szCs w:val="24"/>
              </w:rPr>
            </w:pPr>
            <w:r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3.4 </w:t>
            </w:r>
            <w:r w:rsidR="00616F08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t>The medical staff will adhere to</w:t>
            </w:r>
            <w:r w:rsidR="5413CC86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 the Silversea</w:t>
            </w:r>
            <w:r w:rsidR="00616F08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 code of conduct and act accordingly.</w:t>
            </w:r>
            <w:r w:rsidR="2C041F2E" w:rsidRPr="044C204B">
              <w:rPr>
                <w:rFonts w:eastAsia="Yu Mincho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73B516B" w14:textId="1118C260" w:rsidR="00997319" w:rsidRPr="005C6514" w:rsidRDefault="00997319" w:rsidP="658A85E7">
      <w:pPr>
        <w:pStyle w:val="ListParagraph"/>
        <w:spacing w:after="120" w:line="240" w:lineRule="auto"/>
        <w:ind w:left="0"/>
        <w:rPr>
          <w:rFonts w:eastAsia="Yu Mincho" w:cs="Arial"/>
          <w:b/>
          <w:bCs/>
          <w:sz w:val="24"/>
          <w:szCs w:val="24"/>
        </w:rPr>
      </w:pPr>
    </w:p>
    <w:sectPr w:rsidR="00997319" w:rsidRPr="005C6514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0D928" w14:textId="77777777" w:rsidR="00FA575D" w:rsidRDefault="00FA575D" w:rsidP="00C778FB">
      <w:pPr>
        <w:spacing w:after="0" w:line="240" w:lineRule="auto"/>
      </w:pPr>
      <w:r>
        <w:separator/>
      </w:r>
    </w:p>
  </w:endnote>
  <w:endnote w:type="continuationSeparator" w:id="0">
    <w:p w14:paraId="7EEB0A6A" w14:textId="77777777" w:rsidR="00FA575D" w:rsidRDefault="00FA575D" w:rsidP="00C778FB">
      <w:pPr>
        <w:spacing w:after="0" w:line="240" w:lineRule="auto"/>
      </w:pPr>
      <w:r>
        <w:continuationSeparator/>
      </w:r>
    </w:p>
  </w:endnote>
  <w:endnote w:type="continuationNotice" w:id="1">
    <w:p w14:paraId="5F3F0163" w14:textId="77777777" w:rsidR="00FA575D" w:rsidRDefault="00FA57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84BCB" w14:textId="0F07054B" w:rsidR="00211F81" w:rsidRPr="005C6514" w:rsidRDefault="00440D98" w:rsidP="00211F81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>
      <w:rPr>
        <w:sz w:val="24"/>
        <w:szCs w:val="24"/>
      </w:rPr>
      <w:t>SS</w:t>
    </w:r>
    <w:r w:rsidR="00211F81" w:rsidRPr="005C6514">
      <w:rPr>
        <w:sz w:val="24"/>
        <w:szCs w:val="24"/>
      </w:rPr>
      <w:t xml:space="preserve">MED-1001 General </w:t>
    </w:r>
    <w:r w:rsidR="00211F81" w:rsidRPr="005C6514">
      <w:rPr>
        <w:sz w:val="24"/>
        <w:szCs w:val="24"/>
      </w:rPr>
      <w:tab/>
    </w:r>
    <w:r w:rsidR="00211F81" w:rsidRPr="005C6514">
      <w:rPr>
        <w:sz w:val="24"/>
        <w:szCs w:val="24"/>
      </w:rPr>
      <w:fldChar w:fldCharType="begin"/>
    </w:r>
    <w:r w:rsidR="00211F81" w:rsidRPr="005C6514">
      <w:rPr>
        <w:sz w:val="24"/>
        <w:szCs w:val="24"/>
      </w:rPr>
      <w:instrText xml:space="preserve"> PAGE   \* MERGEFORMAT </w:instrText>
    </w:r>
    <w:r w:rsidR="00211F81" w:rsidRPr="005C6514">
      <w:rPr>
        <w:sz w:val="24"/>
        <w:szCs w:val="24"/>
      </w:rPr>
      <w:fldChar w:fldCharType="separate"/>
    </w:r>
    <w:r w:rsidR="00211F81" w:rsidRPr="005C6514">
      <w:rPr>
        <w:sz w:val="24"/>
        <w:szCs w:val="24"/>
      </w:rPr>
      <w:t>1</w:t>
    </w:r>
    <w:r w:rsidR="00211F81" w:rsidRPr="005C6514">
      <w:rPr>
        <w:noProof/>
        <w:sz w:val="24"/>
        <w:szCs w:val="24"/>
      </w:rPr>
      <w:fldChar w:fldCharType="end"/>
    </w:r>
  </w:p>
  <w:p w14:paraId="349071B4" w14:textId="129E5BA0" w:rsidR="004D249F" w:rsidRPr="005C6514" w:rsidRDefault="5624DB1E" w:rsidP="00211F81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sz w:val="24"/>
        <w:szCs w:val="24"/>
      </w:rPr>
    </w:pPr>
    <w:r w:rsidRPr="005C6514">
      <w:rPr>
        <w:sz w:val="24"/>
        <w:szCs w:val="24"/>
      </w:rPr>
      <w:t xml:space="preserve">REV. </w:t>
    </w:r>
    <w:r w:rsidR="009B4DAA">
      <w:rPr>
        <w:sz w:val="24"/>
        <w:szCs w:val="24"/>
      </w:rPr>
      <w:t>17 February 2021</w:t>
    </w:r>
    <w:r w:rsidR="004D249F" w:rsidRPr="005C6514">
      <w:rPr>
        <w:sz w:val="24"/>
        <w:szCs w:val="24"/>
      </w:rPr>
      <w:tab/>
    </w:r>
  </w:p>
  <w:p w14:paraId="2466E0C2" w14:textId="77777777" w:rsidR="00211F81" w:rsidRDefault="00211F81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BE9E8" w14:textId="77777777" w:rsidR="00FA575D" w:rsidRDefault="00FA575D" w:rsidP="00C778FB">
      <w:pPr>
        <w:spacing w:after="0" w:line="240" w:lineRule="auto"/>
      </w:pPr>
      <w:r>
        <w:separator/>
      </w:r>
    </w:p>
  </w:footnote>
  <w:footnote w:type="continuationSeparator" w:id="0">
    <w:p w14:paraId="63558EC4" w14:textId="77777777" w:rsidR="00FA575D" w:rsidRDefault="00FA575D" w:rsidP="00C778FB">
      <w:pPr>
        <w:spacing w:after="0" w:line="240" w:lineRule="auto"/>
      </w:pPr>
      <w:r>
        <w:continuationSeparator/>
      </w:r>
    </w:p>
  </w:footnote>
  <w:footnote w:type="continuationNotice" w:id="1">
    <w:p w14:paraId="58704412" w14:textId="77777777" w:rsidR="00FA575D" w:rsidRDefault="00FA57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B4747" w14:textId="77777777" w:rsidR="00C778FB" w:rsidRPr="004D249F" w:rsidRDefault="006C496E" w:rsidP="006C496E">
    <w:pPr>
      <w:pStyle w:val="Header"/>
      <w:tabs>
        <w:tab w:val="left" w:pos="8355"/>
      </w:tabs>
      <w:rPr>
        <w:rFonts w:ascii="Times New Roman" w:hAnsi="Times New Roman"/>
      </w:rPr>
    </w:pPr>
    <w:bookmarkStart w:id="2" w:name="_Hlk50976551"/>
    <w:bookmarkStart w:id="3" w:name="_Hlk50976552"/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5C08DF">
      <w:rPr>
        <w:noProof/>
      </w:rPr>
      <w:pict w14:anchorId="1714E6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312"/>
    <w:multiLevelType w:val="hybridMultilevel"/>
    <w:tmpl w:val="D408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D83"/>
    <w:multiLevelType w:val="multilevel"/>
    <w:tmpl w:val="B8DA370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F4723"/>
    <w:multiLevelType w:val="hybridMultilevel"/>
    <w:tmpl w:val="6096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F6C08"/>
    <w:multiLevelType w:val="multilevel"/>
    <w:tmpl w:val="5E622EB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3B416C"/>
    <w:multiLevelType w:val="multilevel"/>
    <w:tmpl w:val="F9C0D5A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050CA3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7641BE"/>
    <w:multiLevelType w:val="multilevel"/>
    <w:tmpl w:val="A48052A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0F41E5"/>
    <w:multiLevelType w:val="multilevel"/>
    <w:tmpl w:val="1E3650E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367EDA"/>
    <w:multiLevelType w:val="multilevel"/>
    <w:tmpl w:val="99222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12" w15:restartNumberingAfterBreak="0">
    <w:nsid w:val="2A5067F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775D21"/>
    <w:multiLevelType w:val="multilevel"/>
    <w:tmpl w:val="ECFC0CDE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B66A4"/>
    <w:multiLevelType w:val="multilevel"/>
    <w:tmpl w:val="E4228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447A78"/>
    <w:multiLevelType w:val="hybridMultilevel"/>
    <w:tmpl w:val="5672C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DF2CDC"/>
    <w:multiLevelType w:val="hybridMultilevel"/>
    <w:tmpl w:val="F5D4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3B20EFA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DE2D87"/>
    <w:multiLevelType w:val="hybridMultilevel"/>
    <w:tmpl w:val="81540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5777F0"/>
    <w:multiLevelType w:val="multilevel"/>
    <w:tmpl w:val="4A5ACCD2"/>
    <w:lvl w:ilvl="0">
      <w:start w:val="1"/>
      <w:numFmt w:val="decimal"/>
      <w:lvlText w:val="%1."/>
      <w:lvlJc w:val="lef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224EB8"/>
    <w:multiLevelType w:val="multilevel"/>
    <w:tmpl w:val="A9D4AA80"/>
    <w:numStyleLink w:val="VikandMedicalSOP"/>
  </w:abstractNum>
  <w:abstractNum w:abstractNumId="27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05E0DC8"/>
    <w:multiLevelType w:val="hybridMultilevel"/>
    <w:tmpl w:val="B614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8762D"/>
    <w:multiLevelType w:val="multilevel"/>
    <w:tmpl w:val="A9D4AA80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30" w15:restartNumberingAfterBreak="0">
    <w:nsid w:val="77FC4AEC"/>
    <w:multiLevelType w:val="multilevel"/>
    <w:tmpl w:val="7F4CE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7CEE7724"/>
    <w:multiLevelType w:val="hybridMultilevel"/>
    <w:tmpl w:val="ABDE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29"/>
  </w:num>
  <w:num w:numId="6">
    <w:abstractNumId w:val="26"/>
  </w:num>
  <w:num w:numId="7">
    <w:abstractNumId w:val="23"/>
  </w:num>
  <w:num w:numId="8">
    <w:abstractNumId w:val="25"/>
  </w:num>
  <w:num w:numId="9">
    <w:abstractNumId w:val="14"/>
  </w:num>
  <w:num w:numId="10">
    <w:abstractNumId w:val="4"/>
  </w:num>
  <w:num w:numId="11">
    <w:abstractNumId w:val="13"/>
  </w:num>
  <w:num w:numId="12">
    <w:abstractNumId w:val="10"/>
  </w:num>
  <w:num w:numId="13">
    <w:abstractNumId w:val="24"/>
  </w:num>
  <w:num w:numId="14">
    <w:abstractNumId w:val="1"/>
  </w:num>
  <w:num w:numId="15">
    <w:abstractNumId w:val="9"/>
  </w:num>
  <w:num w:numId="16">
    <w:abstractNumId w:val="22"/>
  </w:num>
  <w:num w:numId="17">
    <w:abstractNumId w:val="7"/>
  </w:num>
  <w:num w:numId="18">
    <w:abstractNumId w:val="12"/>
  </w:num>
  <w:num w:numId="19">
    <w:abstractNumId w:val="6"/>
  </w:num>
  <w:num w:numId="20">
    <w:abstractNumId w:val="20"/>
  </w:num>
  <w:num w:numId="21">
    <w:abstractNumId w:val="27"/>
  </w:num>
  <w:num w:numId="22">
    <w:abstractNumId w:val="19"/>
  </w:num>
  <w:num w:numId="23">
    <w:abstractNumId w:val="21"/>
  </w:num>
  <w:num w:numId="24">
    <w:abstractNumId w:val="17"/>
  </w:num>
  <w:num w:numId="25">
    <w:abstractNumId w:val="11"/>
  </w:num>
  <w:num w:numId="26">
    <w:abstractNumId w:val="15"/>
  </w:num>
  <w:num w:numId="27">
    <w:abstractNumId w:val="0"/>
  </w:num>
  <w:num w:numId="28">
    <w:abstractNumId w:val="28"/>
  </w:num>
  <w:num w:numId="29">
    <w:abstractNumId w:val="30"/>
  </w:num>
  <w:num w:numId="30">
    <w:abstractNumId w:val="31"/>
  </w:num>
  <w:num w:numId="31">
    <w:abstractNumId w:val="1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D9"/>
    <w:rsid w:val="00022FF1"/>
    <w:rsid w:val="00034B23"/>
    <w:rsid w:val="00051E96"/>
    <w:rsid w:val="00073737"/>
    <w:rsid w:val="0007385C"/>
    <w:rsid w:val="000A128E"/>
    <w:rsid w:val="000A2962"/>
    <w:rsid w:val="000B195C"/>
    <w:rsid w:val="000D1674"/>
    <w:rsid w:val="000D21D9"/>
    <w:rsid w:val="00126B7E"/>
    <w:rsid w:val="00132D05"/>
    <w:rsid w:val="001405E3"/>
    <w:rsid w:val="001E3208"/>
    <w:rsid w:val="00211F81"/>
    <w:rsid w:val="00220599"/>
    <w:rsid w:val="002324A3"/>
    <w:rsid w:val="00246962"/>
    <w:rsid w:val="002542F6"/>
    <w:rsid w:val="00274B23"/>
    <w:rsid w:val="002D0B74"/>
    <w:rsid w:val="002F141F"/>
    <w:rsid w:val="00397309"/>
    <w:rsid w:val="003B01A4"/>
    <w:rsid w:val="003B4946"/>
    <w:rsid w:val="003D0206"/>
    <w:rsid w:val="003F31DE"/>
    <w:rsid w:val="003F7255"/>
    <w:rsid w:val="00406B39"/>
    <w:rsid w:val="00426A59"/>
    <w:rsid w:val="00440D98"/>
    <w:rsid w:val="00456BBE"/>
    <w:rsid w:val="00460AD1"/>
    <w:rsid w:val="00471B34"/>
    <w:rsid w:val="004A509F"/>
    <w:rsid w:val="004A7AF3"/>
    <w:rsid w:val="004C478C"/>
    <w:rsid w:val="004D249F"/>
    <w:rsid w:val="004D65C6"/>
    <w:rsid w:val="0050242E"/>
    <w:rsid w:val="005A7A7F"/>
    <w:rsid w:val="005B469A"/>
    <w:rsid w:val="005C08DF"/>
    <w:rsid w:val="005C6514"/>
    <w:rsid w:val="005F3699"/>
    <w:rsid w:val="00616F08"/>
    <w:rsid w:val="00631D7B"/>
    <w:rsid w:val="006522E2"/>
    <w:rsid w:val="00684642"/>
    <w:rsid w:val="00693001"/>
    <w:rsid w:val="00694887"/>
    <w:rsid w:val="006B3FEB"/>
    <w:rsid w:val="006B6CD7"/>
    <w:rsid w:val="006C496E"/>
    <w:rsid w:val="006F3C47"/>
    <w:rsid w:val="00703D5E"/>
    <w:rsid w:val="00720799"/>
    <w:rsid w:val="00722ADC"/>
    <w:rsid w:val="0072326A"/>
    <w:rsid w:val="007347FB"/>
    <w:rsid w:val="0073766B"/>
    <w:rsid w:val="0078211E"/>
    <w:rsid w:val="007A6B01"/>
    <w:rsid w:val="007D29A6"/>
    <w:rsid w:val="007F4FE3"/>
    <w:rsid w:val="00821515"/>
    <w:rsid w:val="0083322E"/>
    <w:rsid w:val="00875E95"/>
    <w:rsid w:val="008B2DE2"/>
    <w:rsid w:val="008C1778"/>
    <w:rsid w:val="008D7DCA"/>
    <w:rsid w:val="008E21DF"/>
    <w:rsid w:val="00944CF4"/>
    <w:rsid w:val="00945E4A"/>
    <w:rsid w:val="00946FE0"/>
    <w:rsid w:val="00965E25"/>
    <w:rsid w:val="00997319"/>
    <w:rsid w:val="009A08BB"/>
    <w:rsid w:val="009A1B5E"/>
    <w:rsid w:val="009B4DAA"/>
    <w:rsid w:val="009C553E"/>
    <w:rsid w:val="009E5A1B"/>
    <w:rsid w:val="00A503C2"/>
    <w:rsid w:val="00A74191"/>
    <w:rsid w:val="00AB7C45"/>
    <w:rsid w:val="00AC5B1C"/>
    <w:rsid w:val="00AD48AC"/>
    <w:rsid w:val="00AD57DE"/>
    <w:rsid w:val="00B03CF2"/>
    <w:rsid w:val="00B14666"/>
    <w:rsid w:val="00B26477"/>
    <w:rsid w:val="00B320F7"/>
    <w:rsid w:val="00B32861"/>
    <w:rsid w:val="00B41519"/>
    <w:rsid w:val="00B9736A"/>
    <w:rsid w:val="00BD26BB"/>
    <w:rsid w:val="00BE3B8A"/>
    <w:rsid w:val="00BE72D1"/>
    <w:rsid w:val="00C17F38"/>
    <w:rsid w:val="00C37524"/>
    <w:rsid w:val="00C41561"/>
    <w:rsid w:val="00C41563"/>
    <w:rsid w:val="00C46BA3"/>
    <w:rsid w:val="00C50B1F"/>
    <w:rsid w:val="00C61809"/>
    <w:rsid w:val="00C778FB"/>
    <w:rsid w:val="00CB6F7F"/>
    <w:rsid w:val="00CE0D6E"/>
    <w:rsid w:val="00CF1A94"/>
    <w:rsid w:val="00D21DE2"/>
    <w:rsid w:val="00D23C33"/>
    <w:rsid w:val="00D475DE"/>
    <w:rsid w:val="00D604C2"/>
    <w:rsid w:val="00D6399C"/>
    <w:rsid w:val="00D64208"/>
    <w:rsid w:val="00D87591"/>
    <w:rsid w:val="00D91D89"/>
    <w:rsid w:val="00DF38DC"/>
    <w:rsid w:val="00E06630"/>
    <w:rsid w:val="00E34FA9"/>
    <w:rsid w:val="00E5307E"/>
    <w:rsid w:val="00E606D3"/>
    <w:rsid w:val="00E654B9"/>
    <w:rsid w:val="00E67AF1"/>
    <w:rsid w:val="00EB44E6"/>
    <w:rsid w:val="00F01474"/>
    <w:rsid w:val="00F23BC6"/>
    <w:rsid w:val="00F510F2"/>
    <w:rsid w:val="00F52818"/>
    <w:rsid w:val="00F57687"/>
    <w:rsid w:val="00FA2EEF"/>
    <w:rsid w:val="00FA575D"/>
    <w:rsid w:val="00FD1536"/>
    <w:rsid w:val="00FE75C3"/>
    <w:rsid w:val="044C204B"/>
    <w:rsid w:val="044DB3F9"/>
    <w:rsid w:val="05597364"/>
    <w:rsid w:val="05DB5222"/>
    <w:rsid w:val="072CDC3E"/>
    <w:rsid w:val="088BF1A6"/>
    <w:rsid w:val="16E148C7"/>
    <w:rsid w:val="1B066B2D"/>
    <w:rsid w:val="20298C4D"/>
    <w:rsid w:val="20F5FBD5"/>
    <w:rsid w:val="21BEBACC"/>
    <w:rsid w:val="22EDD58F"/>
    <w:rsid w:val="28395DF5"/>
    <w:rsid w:val="2C041F2E"/>
    <w:rsid w:val="3C3E8358"/>
    <w:rsid w:val="3E0DE9F7"/>
    <w:rsid w:val="403E0EC0"/>
    <w:rsid w:val="41DE33AD"/>
    <w:rsid w:val="47027588"/>
    <w:rsid w:val="4CF0B274"/>
    <w:rsid w:val="514A85B9"/>
    <w:rsid w:val="51ABD0AE"/>
    <w:rsid w:val="5413CC86"/>
    <w:rsid w:val="55B23D96"/>
    <w:rsid w:val="5624DB1E"/>
    <w:rsid w:val="59397DF8"/>
    <w:rsid w:val="5B78CB3A"/>
    <w:rsid w:val="5C31A806"/>
    <w:rsid w:val="5C63DA9C"/>
    <w:rsid w:val="6049ABB1"/>
    <w:rsid w:val="658A85E7"/>
    <w:rsid w:val="6D8C6D6A"/>
    <w:rsid w:val="6FCB0C46"/>
    <w:rsid w:val="7031AA3A"/>
    <w:rsid w:val="738305CE"/>
    <w:rsid w:val="73C00081"/>
    <w:rsid w:val="75A56C24"/>
    <w:rsid w:val="7794EE48"/>
    <w:rsid w:val="798C08DA"/>
    <w:rsid w:val="7BE6A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2AB3F8"/>
  <w15:chartTrackingRefBased/>
  <w15:docId w15:val="{E8754582-9708-43AE-9F6E-A4B5F515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C55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A6B01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CE0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D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D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D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E0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1000 Medical Responsibilities and Job Descriptions</M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640C-F801-4E29-BB79-3C288EB8C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6c5c5-b236-4920-9c0b-2e413ae02a6c"/>
    <ds:schemaRef ds:uri="http://schemas.microsoft.com/sharepoint/v3/fields"/>
    <ds:schemaRef ds:uri="ce545564-ec68-43f3-8620-731bf2ed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890F6-4BE7-4C13-B8FF-6D4835E3D6C6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sharepoint/v3/field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e545564-ec68-43f3-8620-731bf2ed8feb"/>
    <ds:schemaRef ds:uri="49b6c5c5-b236-4920-9c0b-2e413ae02a6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96BAA9-832C-4AC4-B855-A8202E6B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IT-Maria Quist</dc:creator>
  <cp:keywords/>
  <dc:description/>
  <cp:lastModifiedBy>Paul Morgan</cp:lastModifiedBy>
  <cp:revision>18</cp:revision>
  <dcterms:created xsi:type="dcterms:W3CDTF">2020-10-08T15:35:00Z</dcterms:created>
  <dcterms:modified xsi:type="dcterms:W3CDTF">2021-03-10T20:11:00Z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