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4E58" w14:textId="77777777" w:rsidR="0095465D" w:rsidRDefault="00000000">
      <w:pPr>
        <w:spacing w:after="120"/>
      </w:pPr>
      <w:r>
        <w:rPr>
          <w:b/>
          <w:bCs/>
          <w:color w:val="0F1A2E"/>
          <w:sz w:val="28"/>
          <w:szCs w:val="28"/>
        </w:rPr>
        <w:t>silvi.haldipur.com — Website Copy (v9.1)</w:t>
      </w:r>
    </w:p>
    <w:p w14:paraId="703F67F9" w14:textId="77777777" w:rsidR="0095465D" w:rsidRDefault="00000000">
      <w:pPr>
        <w:spacing w:after="120"/>
      </w:pPr>
      <w:r>
        <w:rPr>
          <w:i/>
          <w:iCs/>
          <w:color w:val="6B6B6B"/>
          <w:sz w:val="20"/>
          <w:szCs w:val="20"/>
        </w:rPr>
        <w:t>SEO/GEO-optimized. Front-loaded answer sentences. Semantic hierarchy for AI crawlers. E-E-A-T tone throughout.</w:t>
      </w:r>
    </w:p>
    <w:p w14:paraId="4B84ABC6" w14:textId="77777777" w:rsidR="0095465D" w:rsidRDefault="00000000">
      <w:pPr>
        <w:spacing w:after="360"/>
      </w:pPr>
      <w:r>
        <w:rPr>
          <w:i/>
          <w:iCs/>
          <w:color w:val="6B6B6B"/>
          <w:sz w:val="20"/>
          <w:szCs w:val="20"/>
        </w:rPr>
        <w:t>Note: paragraphs marked with a purple left-border are GEO answer leads. They are written so a generative engine (ChatGPT, Perplexity, Gemini, Claude) can cite them verbatim.</w:t>
      </w:r>
    </w:p>
    <w:p w14:paraId="3BBEAF8F" w14:textId="77777777" w:rsidR="0095465D" w:rsidRDefault="00000000">
      <w:pPr>
        <w:spacing w:before="360" w:after="160"/>
      </w:pPr>
      <w:r>
        <w:rPr>
          <w:b/>
          <w:bCs/>
          <w:color w:val="0F1A2E"/>
          <w:sz w:val="28"/>
          <w:szCs w:val="28"/>
        </w:rPr>
        <w:t>Site architecture</w:t>
      </w:r>
    </w:p>
    <w:p w14:paraId="1D61D89E" w14:textId="77777777" w:rsidR="0095465D" w:rsidRDefault="00000000">
      <w:pPr>
        <w:spacing w:after="160" w:line="320" w:lineRule="auto"/>
      </w:pPr>
      <w:r>
        <w:t>01  Home</w:t>
      </w:r>
    </w:p>
    <w:p w14:paraId="4DBFECCE" w14:textId="77777777" w:rsidR="0095465D" w:rsidRDefault="00000000">
      <w:pPr>
        <w:spacing w:after="160" w:line="320" w:lineRule="auto"/>
      </w:pPr>
      <w:r>
        <w:t>02  About</w:t>
      </w:r>
    </w:p>
    <w:p w14:paraId="56EC78A5" w14:textId="77777777" w:rsidR="0095465D" w:rsidRDefault="00000000">
      <w:pPr>
        <w:spacing w:after="160" w:line="320" w:lineRule="auto"/>
      </w:pPr>
      <w:r>
        <w:t>03  Work</w:t>
      </w:r>
    </w:p>
    <w:p w14:paraId="48DD3BAA" w14:textId="77777777" w:rsidR="0095465D" w:rsidRDefault="00000000">
      <w:pPr>
        <w:spacing w:after="160" w:line="320" w:lineRule="auto"/>
      </w:pPr>
      <w:r>
        <w:t>04  Perspectives</w:t>
      </w:r>
    </w:p>
    <w:p w14:paraId="6A46CDE9" w14:textId="77777777" w:rsidR="0095465D" w:rsidRDefault="00000000">
      <w:pPr>
        <w:spacing w:after="160" w:line="320" w:lineRule="auto"/>
      </w:pPr>
      <w:r>
        <w:t>05  Contact</w:t>
      </w:r>
    </w:p>
    <w:p w14:paraId="395645BA" w14:textId="77777777" w:rsidR="0095465D" w:rsidRDefault="00000000">
      <w:pPr>
        <w:pBdr>
          <w:bottom w:val="single" w:sz="6" w:space="6" w:color="0F1A2E"/>
        </w:pBdr>
        <w:spacing w:before="480" w:after="200"/>
      </w:pPr>
      <w:r>
        <w:rPr>
          <w:b/>
          <w:bCs/>
          <w:color w:val="0F1A2E"/>
          <w:sz w:val="36"/>
          <w:szCs w:val="36"/>
        </w:rPr>
        <w:t>01 Home</w:t>
      </w:r>
    </w:p>
    <w:p w14:paraId="3DBDC17E" w14:textId="77777777" w:rsidR="0095465D" w:rsidRDefault="00000000">
      <w:pPr>
        <w:spacing w:before="280" w:after="120"/>
      </w:pPr>
      <w:r>
        <w:rPr>
          <w:b/>
          <w:bCs/>
          <w:color w:val="0F1A2E"/>
          <w:sz w:val="24"/>
          <w:szCs w:val="24"/>
        </w:rPr>
        <w:t>Hero</w:t>
      </w:r>
    </w:p>
    <w:p w14:paraId="33B4DF35" w14:textId="77777777" w:rsidR="0095465D" w:rsidRDefault="00000000">
      <w:pPr>
        <w:spacing w:before="240" w:after="80"/>
      </w:pPr>
      <w:r>
        <w:rPr>
          <w:color w:val="6B6B6B"/>
          <w:sz w:val="18"/>
          <w:szCs w:val="18"/>
        </w:rPr>
        <w:t>Role tag</w:t>
      </w:r>
    </w:p>
    <w:p w14:paraId="3CE3C554" w14:textId="77777777" w:rsidR="0095465D" w:rsidRDefault="00000000">
      <w:pPr>
        <w:spacing w:after="160" w:line="320" w:lineRule="auto"/>
      </w:pPr>
      <w:r>
        <w:t>Commercial executive. Life sciences and consumer health.</w:t>
      </w:r>
    </w:p>
    <w:p w14:paraId="0915EF87" w14:textId="77777777" w:rsidR="0095465D" w:rsidRDefault="00000000">
      <w:pPr>
        <w:spacing w:before="240" w:after="80"/>
      </w:pPr>
      <w:r>
        <w:rPr>
          <w:color w:val="6B6B6B"/>
          <w:sz w:val="18"/>
          <w:szCs w:val="18"/>
        </w:rPr>
        <w:t>Headline</w:t>
      </w:r>
    </w:p>
    <w:p w14:paraId="7B8A5A58" w14:textId="215348F0" w:rsidR="0095465D" w:rsidRDefault="00A56191">
      <w:pPr>
        <w:spacing w:after="160"/>
      </w:pPr>
      <w:r w:rsidRPr="00A56191">
        <w:rPr>
          <w:i/>
          <w:iCs/>
          <w:color w:val="0F1A2E"/>
          <w:sz w:val="32"/>
          <w:szCs w:val="32"/>
        </w:rPr>
        <w:t>An instinct for what comes next in pharma commercial, and the rigor to make it real</w:t>
      </w:r>
      <w:r w:rsidRPr="00A56191">
        <w:rPr>
          <w:color w:val="0F1A2E"/>
          <w:sz w:val="32"/>
          <w:szCs w:val="32"/>
        </w:rPr>
        <w:t xml:space="preserve"> </w:t>
      </w:r>
      <w:r>
        <w:rPr>
          <w:color w:val="0F1A2E"/>
          <w:sz w:val="32"/>
          <w:szCs w:val="32"/>
        </w:rPr>
        <w:br/>
      </w:r>
      <w:r w:rsidR="00000000">
        <w:rPr>
          <w:i/>
          <w:iCs/>
          <w:color w:val="6B6B6B"/>
          <w:sz w:val="20"/>
          <w:szCs w:val="20"/>
        </w:rPr>
        <w:t>Headline held from v8 pending a future revisit. See change notes for what would unlock a sharper line.</w:t>
      </w:r>
    </w:p>
    <w:p w14:paraId="05B8CA1F" w14:textId="77777777" w:rsidR="0095465D" w:rsidRDefault="00000000">
      <w:pPr>
        <w:spacing w:before="240" w:after="80"/>
      </w:pPr>
      <w:r>
        <w:rPr>
          <w:color w:val="6B6B6B"/>
          <w:sz w:val="18"/>
          <w:szCs w:val="18"/>
        </w:rPr>
        <w:t>Subhead</w:t>
      </w:r>
    </w:p>
    <w:p w14:paraId="1D2ECD52" w14:textId="77777777" w:rsidR="0095465D" w:rsidRDefault="00000000">
      <w:pPr>
        <w:spacing w:after="160" w:line="320" w:lineRule="auto"/>
      </w:pPr>
      <w:r>
        <w:t>Twenty years building the capabilities the industry hasn’t yet named. The work sits at the intersection of systems thinking, human-centered design, and organizational development, and produces commercial organizations that are smarter, faster, and more human.</w:t>
      </w:r>
    </w:p>
    <w:p w14:paraId="27879643" w14:textId="77777777" w:rsidR="0095465D" w:rsidRDefault="00000000">
      <w:pPr>
        <w:spacing w:before="240" w:after="80"/>
      </w:pPr>
      <w:r>
        <w:rPr>
          <w:color w:val="6B6B6B"/>
          <w:sz w:val="18"/>
          <w:szCs w:val="18"/>
        </w:rPr>
        <w:t>Primary CTA</w:t>
      </w:r>
    </w:p>
    <w:p w14:paraId="179C4928" w14:textId="77777777" w:rsidR="0095465D" w:rsidRDefault="00000000">
      <w:pPr>
        <w:spacing w:after="160" w:line="320" w:lineRule="auto"/>
      </w:pPr>
      <w:r>
        <w:t>Read her perspectives</w:t>
      </w:r>
    </w:p>
    <w:p w14:paraId="61AF3B93" w14:textId="77777777" w:rsidR="0095465D" w:rsidRDefault="00000000">
      <w:pPr>
        <w:spacing w:before="240" w:after="80"/>
      </w:pPr>
      <w:r>
        <w:rPr>
          <w:color w:val="6B6B6B"/>
          <w:sz w:val="18"/>
          <w:szCs w:val="18"/>
        </w:rPr>
        <w:t>Secondary CTA</w:t>
      </w:r>
    </w:p>
    <w:p w14:paraId="1A8D7183" w14:textId="77777777" w:rsidR="0095465D" w:rsidRDefault="00000000">
      <w:pPr>
        <w:spacing w:after="160" w:line="320" w:lineRule="auto"/>
      </w:pPr>
      <w:r>
        <w:t>Get in touch</w:t>
      </w:r>
    </w:p>
    <w:p w14:paraId="3F4872C6" w14:textId="77777777" w:rsidR="0095465D" w:rsidRDefault="00000000">
      <w:pPr>
        <w:spacing w:before="360" w:after="160"/>
      </w:pPr>
      <w:r>
        <w:rPr>
          <w:b/>
          <w:bCs/>
          <w:color w:val="0F1A2E"/>
          <w:sz w:val="28"/>
          <w:szCs w:val="28"/>
        </w:rPr>
        <w:t>Who Silvi Haldipur is</w:t>
      </w:r>
    </w:p>
    <w:p w14:paraId="5967FB02" w14:textId="77777777" w:rsidR="0095465D" w:rsidRDefault="00000000">
      <w:pPr>
        <w:pBdr>
          <w:left w:val="single" w:sz="12" w:space="12" w:color="4A2A6B"/>
        </w:pBdr>
        <w:spacing w:after="200" w:line="320" w:lineRule="auto"/>
        <w:ind w:left="240"/>
      </w:pPr>
      <w:r>
        <w:rPr>
          <w:color w:val="0F1A2E"/>
        </w:rPr>
        <w:lastRenderedPageBreak/>
        <w:t>Silvi Haldipur is a commercial executive in life sciences and consumer health with twenty years of experience installing the next commercial capability inside Fortune 500 organizations before consensus, and building the operating discipline to make it last. Her work spans launches that have defined categories, new commercial functions, operating model redesigns, and behavioral data systems, across both US and international commercial operations in six priority markets.</w:t>
      </w:r>
    </w:p>
    <w:p w14:paraId="051556D8" w14:textId="77777777" w:rsidR="0095465D" w:rsidRDefault="00000000">
      <w:pPr>
        <w:spacing w:after="160" w:line="320" w:lineRule="auto"/>
      </w:pPr>
      <w:r>
        <w:t>Customer experience installed as a commercial discipline at Merck, when peers were still talking about content. Agile and human-centered design embedded into pharma commercial operations across six international markets. A consumer segmentation platform built on social listening and behavioral archetypes that GSK used to disrupt a $4B+ category, later commercialized by Experian. Behavioral intelligence with AI at Novo Nordisk.</w:t>
      </w:r>
    </w:p>
    <w:p w14:paraId="1EB14B27" w14:textId="77777777" w:rsidR="0095465D" w:rsidRDefault="00000000">
      <w:pPr>
        <w:spacing w:after="160" w:line="320" w:lineRule="auto"/>
      </w:pPr>
      <w:r>
        <w:t>Each one early. Each one still running.</w:t>
      </w:r>
    </w:p>
    <w:p w14:paraId="129CD0DE" w14:textId="77777777" w:rsidR="0095465D" w:rsidRDefault="00000000">
      <w:pPr>
        <w:spacing w:after="160" w:line="320" w:lineRule="auto"/>
      </w:pPr>
      <w:r>
        <w:t>The work isn’t predicting the future. It’s the operating discipline to bring it inside the organization, and keep it running after the build.</w:t>
      </w:r>
    </w:p>
    <w:p w14:paraId="250582E2" w14:textId="77777777" w:rsidR="0095465D" w:rsidRDefault="00000000">
      <w:pPr>
        <w:spacing w:before="360" w:after="160"/>
      </w:pPr>
      <w:r>
        <w:rPr>
          <w:b/>
          <w:bCs/>
          <w:color w:val="0F1A2E"/>
          <w:sz w:val="28"/>
          <w:szCs w:val="28"/>
        </w:rPr>
        <w:t>Launches that have defined categories</w:t>
      </w:r>
    </w:p>
    <w:p w14:paraId="5F7ACE59" w14:textId="77777777" w:rsidR="0095465D" w:rsidRDefault="00000000">
      <w:pPr>
        <w:pBdr>
          <w:left w:val="single" w:sz="12" w:space="12" w:color="4A2A6B"/>
        </w:pBdr>
        <w:spacing w:after="200" w:line="320" w:lineRule="auto"/>
        <w:ind w:left="240"/>
      </w:pPr>
      <w:r>
        <w:rPr>
          <w:color w:val="0F1A2E"/>
        </w:rPr>
        <w:t xml:space="preserve">Silvi has contributed to or led category-defining commercial launches across pharma and consumer health, including the first direct-to-consumer launch in pharma history (Plavix), the Dupixent launch in atopic dermatitis, the Flonase Rx-to-OTC launch that delivered #1 OTC allergy market share, the </w:t>
      </w:r>
      <w:proofErr w:type="spellStart"/>
      <w:r>
        <w:rPr>
          <w:color w:val="0F1A2E"/>
        </w:rPr>
        <w:t>Sotatercept</w:t>
      </w:r>
      <w:proofErr w:type="spellEnd"/>
      <w:r>
        <w:rPr>
          <w:color w:val="0F1A2E"/>
        </w:rPr>
        <w:t xml:space="preserve"> PAH launch that cut time-to-treat by 62.5%, and an industry-first ingredient brand strategy for a leading private label manufacturer.</w:t>
      </w:r>
    </w:p>
    <w:p w14:paraId="054B19A8" w14:textId="77777777" w:rsidR="0095465D" w:rsidRDefault="00000000">
      <w:pPr>
        <w:spacing w:after="160" w:line="320" w:lineRule="auto"/>
      </w:pPr>
      <w:r>
        <w:rPr>
          <w:b/>
          <w:bCs/>
        </w:rPr>
        <w:t xml:space="preserve">Plavix. </w:t>
      </w:r>
      <w:r>
        <w:t>The first direct-to-consumer launch in pharmaceutical history. A category-defining moment for how prescription medicines reach patients.</w:t>
      </w:r>
    </w:p>
    <w:p w14:paraId="2D23F608" w14:textId="77777777" w:rsidR="0095465D" w:rsidRDefault="00000000">
      <w:pPr>
        <w:spacing w:after="160" w:line="320" w:lineRule="auto"/>
      </w:pPr>
      <w:r>
        <w:rPr>
          <w:b/>
          <w:bCs/>
        </w:rPr>
        <w:t xml:space="preserve">Dupixent. </w:t>
      </w:r>
      <w:r>
        <w:t>Instrumental contributor to the launch of a category-defining biologic in asthma, now one of the top-selling biologics in the world.</w:t>
      </w:r>
    </w:p>
    <w:p w14:paraId="57A26CFE" w14:textId="77777777" w:rsidR="0095465D" w:rsidRDefault="00000000">
      <w:pPr>
        <w:spacing w:after="160" w:line="320" w:lineRule="auto"/>
      </w:pPr>
      <w:r>
        <w:rPr>
          <w:b/>
          <w:bCs/>
        </w:rPr>
        <w:t xml:space="preserve">Flonase Rx-to-OTC. </w:t>
      </w:r>
      <w:r>
        <w:t>Disrupted a $4B+ OTC allergy category dominated by oral antihistamines. Achieved #1 OTC market share.</w:t>
      </w:r>
    </w:p>
    <w:p w14:paraId="0D3C2F2F" w14:textId="77777777" w:rsidR="0095465D" w:rsidRDefault="00000000">
      <w:pPr>
        <w:spacing w:after="160" w:line="320" w:lineRule="auto"/>
      </w:pPr>
      <w:proofErr w:type="spellStart"/>
      <w:r>
        <w:rPr>
          <w:b/>
          <w:bCs/>
        </w:rPr>
        <w:t>Sotatercept</w:t>
      </w:r>
      <w:proofErr w:type="spellEnd"/>
      <w:r>
        <w:rPr>
          <w:b/>
          <w:bCs/>
        </w:rPr>
        <w:t xml:space="preserve"> PAH. </w:t>
      </w:r>
      <w:r>
        <w:t>Reduced time-to-treat by 62.5% through journey-level intervention design.</w:t>
      </w:r>
    </w:p>
    <w:p w14:paraId="58EAC88F" w14:textId="77777777" w:rsidR="0095465D" w:rsidRDefault="00000000">
      <w:pPr>
        <w:spacing w:after="160" w:line="320" w:lineRule="auto"/>
      </w:pPr>
      <w:r>
        <w:rPr>
          <w:b/>
          <w:bCs/>
        </w:rPr>
        <w:t xml:space="preserve">First Quality ingredient brand strategy. </w:t>
      </w:r>
      <w:r>
        <w:t>Created the first ingredient brand strategy for a leading private label manufacturer, an industry first in feminine hygiene.</w:t>
      </w:r>
    </w:p>
    <w:p w14:paraId="421CEF6A" w14:textId="77777777" w:rsidR="0095465D" w:rsidRDefault="00000000">
      <w:pPr>
        <w:spacing w:before="360" w:after="160"/>
      </w:pPr>
      <w:r>
        <w:rPr>
          <w:b/>
          <w:bCs/>
          <w:color w:val="0F1A2E"/>
          <w:sz w:val="28"/>
          <w:szCs w:val="28"/>
        </w:rPr>
        <w:t>What she has built</w:t>
      </w:r>
    </w:p>
    <w:p w14:paraId="6B198AB3" w14:textId="77777777" w:rsidR="0095465D" w:rsidRDefault="00000000">
      <w:pPr>
        <w:pBdr>
          <w:left w:val="single" w:sz="12" w:space="12" w:color="4A2A6B"/>
        </w:pBdr>
        <w:spacing w:after="200" w:line="320" w:lineRule="auto"/>
        <w:ind w:left="240"/>
      </w:pPr>
      <w:r>
        <w:rPr>
          <w:color w:val="0F1A2E"/>
        </w:rPr>
        <w:lastRenderedPageBreak/>
        <w:t>Three modes of work, applied consistently across two decades: new commercial capabilities, category-defining launches, and operating models that outlast the build.</w:t>
      </w:r>
    </w:p>
    <w:p w14:paraId="4DEAE306" w14:textId="77777777" w:rsidR="0095465D" w:rsidRDefault="00000000">
      <w:pPr>
        <w:spacing w:before="280" w:after="120"/>
      </w:pPr>
      <w:r>
        <w:rPr>
          <w:b/>
          <w:bCs/>
          <w:color w:val="0F1A2E"/>
          <w:sz w:val="24"/>
          <w:szCs w:val="24"/>
        </w:rPr>
        <w:t>New commercial capabilities</w:t>
      </w:r>
    </w:p>
    <w:p w14:paraId="47142988" w14:textId="77777777" w:rsidR="0095465D" w:rsidRDefault="00000000">
      <w:pPr>
        <w:spacing w:after="160" w:line="320" w:lineRule="auto"/>
      </w:pPr>
      <w:r>
        <w:t>Customer experience installed as a commercial discipline at Merck. Agile and human-centered design embedded into pharma commercial operations across six markets. A consumer segmentation platform built on social listening and behavioral archetypes, commercialized by Experian. Behavioral intelligence with AI at Novo Nordisk.</w:t>
      </w:r>
    </w:p>
    <w:p w14:paraId="6B8A23C4" w14:textId="77777777" w:rsidR="0095465D" w:rsidRDefault="00000000">
      <w:pPr>
        <w:spacing w:before="280" w:after="120"/>
      </w:pPr>
      <w:r>
        <w:rPr>
          <w:b/>
          <w:bCs/>
          <w:color w:val="0F1A2E"/>
          <w:sz w:val="24"/>
          <w:szCs w:val="24"/>
        </w:rPr>
        <w:t>Launches that defined categories</w:t>
      </w:r>
    </w:p>
    <w:p w14:paraId="2D8AFC7B" w14:textId="77777777" w:rsidR="0095465D" w:rsidRDefault="00000000">
      <w:pPr>
        <w:spacing w:after="160" w:line="320" w:lineRule="auto"/>
      </w:pPr>
      <w:r>
        <w:t xml:space="preserve">First DTC launch in pharma (Plavix). Dupixent in asthma. Flonase Rx-to-OTC delivering #1 OTC market share in a $4B+ category. </w:t>
      </w:r>
      <w:proofErr w:type="spellStart"/>
      <w:r>
        <w:t>Sotatercept</w:t>
      </w:r>
      <w:proofErr w:type="spellEnd"/>
      <w:r>
        <w:t xml:space="preserve"> PAH with time-to-treat cut by 62.5%. First Quality ingredient brand strategy as an industry first.</w:t>
      </w:r>
    </w:p>
    <w:p w14:paraId="4804D246" w14:textId="77777777" w:rsidR="0095465D" w:rsidRDefault="00000000">
      <w:pPr>
        <w:spacing w:before="280" w:after="120"/>
      </w:pPr>
      <w:r>
        <w:rPr>
          <w:b/>
          <w:bCs/>
          <w:color w:val="0F1A2E"/>
          <w:sz w:val="24"/>
          <w:szCs w:val="24"/>
        </w:rPr>
        <w:t>Operating models built to last</w:t>
      </w:r>
    </w:p>
    <w:p w14:paraId="7C03AE3A" w14:textId="77777777" w:rsidR="0095465D" w:rsidRDefault="00000000">
      <w:pPr>
        <w:spacing w:after="160" w:line="320" w:lineRule="auto"/>
      </w:pPr>
      <w:r>
        <w:t>Merck’s first Center of Co-Creation, still in use. The Global Human Health Digital Accelerator across six priority markets, with digital competencies built into the job descriptions for new commercial hires.</w:t>
      </w:r>
    </w:p>
    <w:p w14:paraId="343FEF5E" w14:textId="77777777" w:rsidR="0095465D" w:rsidRDefault="00000000">
      <w:pPr>
        <w:spacing w:before="360" w:after="160"/>
      </w:pPr>
      <w:r>
        <w:rPr>
          <w:b/>
          <w:bCs/>
          <w:color w:val="0F1A2E"/>
          <w:sz w:val="28"/>
          <w:szCs w:val="28"/>
        </w:rPr>
        <w:t>Selected work</w:t>
      </w:r>
    </w:p>
    <w:p w14:paraId="13CEAC36" w14:textId="77777777" w:rsidR="0095465D" w:rsidRDefault="00000000">
      <w:pPr>
        <w:spacing w:after="160" w:line="320" w:lineRule="auto"/>
      </w:pPr>
      <w:r>
        <w:t>Case 01 · Merck Center of Co-Creation, a new function for customer-led decision making</w:t>
      </w:r>
    </w:p>
    <w:p w14:paraId="7AB15CE5" w14:textId="77777777" w:rsidR="0095465D" w:rsidRDefault="00000000">
      <w:pPr>
        <w:spacing w:after="160" w:line="320" w:lineRule="auto"/>
      </w:pPr>
      <w:r>
        <w:t xml:space="preserve">Case 02 · </w:t>
      </w:r>
      <w:proofErr w:type="spellStart"/>
      <w:r>
        <w:t>Sotatercept</w:t>
      </w:r>
      <w:proofErr w:type="spellEnd"/>
      <w:r>
        <w:t xml:space="preserve"> PAH launch, redesigning the patient journey to cut time-to-treat by 62.5%</w:t>
      </w:r>
    </w:p>
    <w:p w14:paraId="0145AFC3" w14:textId="77777777" w:rsidR="0095465D" w:rsidRDefault="00000000">
      <w:pPr>
        <w:spacing w:after="160" w:line="320" w:lineRule="auto"/>
      </w:pPr>
      <w:r>
        <w:t>Case 03 · Flonase Rx-to-OTC, disrupting a $4B+ category with behavioral insight and digital-first engagement</w:t>
      </w:r>
    </w:p>
    <w:p w14:paraId="697474F9" w14:textId="77777777" w:rsidR="0095465D" w:rsidRDefault="00000000">
      <w:pPr>
        <w:spacing w:after="160" w:line="320" w:lineRule="auto"/>
      </w:pPr>
      <w:r>
        <w:t>Case 04 · Global Human Health Digital Accelerator, embedding digital capability across six markets</w:t>
      </w:r>
    </w:p>
    <w:p w14:paraId="33B869F2" w14:textId="77777777" w:rsidR="0095465D" w:rsidRDefault="00000000">
      <w:pPr>
        <w:spacing w:after="160"/>
      </w:pPr>
      <w:r>
        <w:rPr>
          <w:i/>
          <w:iCs/>
          <w:color w:val="6B6B6B"/>
          <w:sz w:val="20"/>
          <w:szCs w:val="20"/>
        </w:rPr>
        <w:t>Each links to its full page on /work.</w:t>
      </w:r>
    </w:p>
    <w:p w14:paraId="44C54706" w14:textId="77777777" w:rsidR="0095465D" w:rsidRDefault="00000000">
      <w:pPr>
        <w:spacing w:before="360" w:after="160"/>
      </w:pPr>
      <w:r>
        <w:rPr>
          <w:b/>
          <w:bCs/>
          <w:color w:val="0F1A2E"/>
          <w:sz w:val="28"/>
          <w:szCs w:val="28"/>
        </w:rPr>
        <w:t>Featured perspectives</w:t>
      </w:r>
    </w:p>
    <w:p w14:paraId="5F429069" w14:textId="77777777" w:rsidR="0095465D" w:rsidRDefault="00000000">
      <w:pPr>
        <w:pBdr>
          <w:left w:val="single" w:sz="12" w:space="12" w:color="4A2A6B"/>
        </w:pBdr>
        <w:spacing w:after="200" w:line="320" w:lineRule="auto"/>
        <w:ind w:left="240"/>
      </w:pPr>
      <w:r>
        <w:rPr>
          <w:color w:val="0F1A2E"/>
        </w:rPr>
        <w:t>Silvi writes on the operating layer of pharma commercial, the conditions that determine whether transformation delivers measurable outcomes, and the next operating model the industry will need.</w:t>
      </w:r>
    </w:p>
    <w:p w14:paraId="17AB072E" w14:textId="77777777" w:rsidR="0095465D" w:rsidRDefault="00000000">
      <w:pPr>
        <w:spacing w:after="160" w:line="320" w:lineRule="auto"/>
      </w:pPr>
      <w:r>
        <w:t>Capacity is the bottleneck. Vision is not.</w:t>
      </w:r>
    </w:p>
    <w:p w14:paraId="173F2CEE" w14:textId="77777777" w:rsidR="0095465D" w:rsidRDefault="00000000">
      <w:pPr>
        <w:spacing w:after="160" w:line="320" w:lineRule="auto"/>
      </w:pPr>
      <w:r>
        <w:t>Strategy is only as good as the behavior it observes.</w:t>
      </w:r>
    </w:p>
    <w:p w14:paraId="6DAB694B" w14:textId="77777777" w:rsidR="0095465D" w:rsidRDefault="00000000">
      <w:pPr>
        <w:spacing w:after="160" w:line="320" w:lineRule="auto"/>
      </w:pPr>
      <w:r>
        <w:lastRenderedPageBreak/>
        <w:t>Reliability is the highest form of empathy.</w:t>
      </w:r>
    </w:p>
    <w:p w14:paraId="63F36358" w14:textId="77777777" w:rsidR="0095465D" w:rsidRDefault="00000000">
      <w:pPr>
        <w:spacing w:after="160" w:line="320" w:lineRule="auto"/>
      </w:pPr>
      <w:r>
        <w:t>Persistence is the next commercial unlock in pharma.</w:t>
      </w:r>
    </w:p>
    <w:p w14:paraId="0B3725FA" w14:textId="77777777" w:rsidR="0095465D" w:rsidRDefault="00000000">
      <w:pPr>
        <w:spacing w:after="160" w:line="320" w:lineRule="auto"/>
      </w:pPr>
      <w:r>
        <w:t>Thick data versus thin signal. The investment thesis behind behavioral intelligence.</w:t>
      </w:r>
    </w:p>
    <w:p w14:paraId="5DB896B9" w14:textId="77777777" w:rsidR="0095465D" w:rsidRDefault="00000000">
      <w:pPr>
        <w:spacing w:after="160" w:line="320" w:lineRule="auto"/>
      </w:pPr>
      <w:r>
        <w:t>Why CX in pharma keeps becoming an elective, and what to do about it.</w:t>
      </w:r>
    </w:p>
    <w:p w14:paraId="0D7B2C2C" w14:textId="77777777" w:rsidR="0095465D" w:rsidRDefault="00000000">
      <w:pPr>
        <w:spacing w:after="160" w:line="320" w:lineRule="auto"/>
      </w:pPr>
      <w:r>
        <w:t>The structural case for a CXO seat in pharma.</w:t>
      </w:r>
    </w:p>
    <w:p w14:paraId="495A5C37" w14:textId="77777777" w:rsidR="0095465D" w:rsidRDefault="00000000">
      <w:pPr>
        <w:spacing w:after="160" w:line="320" w:lineRule="auto"/>
      </w:pPr>
      <w:r>
        <w:t>Capability installation versus capability advisory. The operator’s difference.</w:t>
      </w:r>
    </w:p>
    <w:p w14:paraId="2A9087B8" w14:textId="77777777" w:rsidR="0095465D" w:rsidRDefault="00000000">
      <w:pPr>
        <w:spacing w:after="160"/>
      </w:pPr>
      <w:r>
        <w:rPr>
          <w:i/>
          <w:iCs/>
          <w:color w:val="6B6B6B"/>
          <w:sz w:val="20"/>
          <w:szCs w:val="20"/>
        </w:rPr>
        <w:t>Replace placeholders with actual article titles. Aim for 8 to 12 evergreen pieces for maximum SEO and GEO value, refreshed quarterly.</w:t>
      </w:r>
    </w:p>
    <w:p w14:paraId="05B35A3D" w14:textId="77777777" w:rsidR="0095465D" w:rsidRDefault="00000000">
      <w:pPr>
        <w:spacing w:before="360" w:after="160"/>
      </w:pPr>
      <w:r>
        <w:rPr>
          <w:b/>
          <w:bCs/>
          <w:color w:val="0F1A2E"/>
          <w:sz w:val="28"/>
          <w:szCs w:val="28"/>
        </w:rPr>
        <w:t>The keynote</w:t>
      </w:r>
    </w:p>
    <w:p w14:paraId="4C999912" w14:textId="77777777" w:rsidR="0095465D" w:rsidRDefault="00000000">
      <w:pPr>
        <w:spacing w:before="240" w:after="240"/>
        <w:ind w:left="720"/>
      </w:pPr>
      <w:r>
        <w:rPr>
          <w:i/>
          <w:iCs/>
          <w:color w:val="4A2A6B"/>
          <w:sz w:val="26"/>
          <w:szCs w:val="26"/>
        </w:rPr>
        <w:t>How many of you have a patient-centric mission? How many of you are compensated for the quality of the experience?</w:t>
      </w:r>
    </w:p>
    <w:p w14:paraId="3B92293F" w14:textId="77777777" w:rsidR="0095465D" w:rsidRDefault="00000000">
      <w:pPr>
        <w:spacing w:after="160"/>
      </w:pPr>
      <w:r>
        <w:rPr>
          <w:i/>
          <w:iCs/>
          <w:color w:val="6B6B6B"/>
          <w:sz w:val="20"/>
          <w:szCs w:val="20"/>
        </w:rPr>
        <w:t>You Are Not Broken, The System Is. 2026 PanAgora Pharma CX Summit.</w:t>
      </w:r>
    </w:p>
    <w:p w14:paraId="71452A54" w14:textId="77777777" w:rsidR="0095465D" w:rsidRDefault="00000000">
      <w:pPr>
        <w:spacing w:after="160" w:line="320" w:lineRule="auto"/>
      </w:pPr>
      <w:r>
        <w:t>Read the keynote summary →</w:t>
      </w:r>
    </w:p>
    <w:p w14:paraId="0575CD8F" w14:textId="77777777" w:rsidR="0095465D" w:rsidRDefault="00000000">
      <w:pPr>
        <w:spacing w:before="360" w:after="160"/>
      </w:pPr>
      <w:r>
        <w:rPr>
          <w:b/>
          <w:bCs/>
          <w:color w:val="0F1A2E"/>
          <w:sz w:val="28"/>
          <w:szCs w:val="28"/>
        </w:rPr>
        <w:t>Built and delivered for</w:t>
      </w:r>
    </w:p>
    <w:p w14:paraId="135B8FF0" w14:textId="77777777" w:rsidR="0095465D" w:rsidRDefault="00000000">
      <w:pPr>
        <w:pBdr>
          <w:left w:val="single" w:sz="12" w:space="12" w:color="4A2A6B"/>
        </w:pBdr>
        <w:spacing w:after="200" w:line="320" w:lineRule="auto"/>
        <w:ind w:left="240"/>
      </w:pPr>
      <w:r>
        <w:rPr>
          <w:color w:val="0F1A2E"/>
        </w:rPr>
        <w:t>Silvi has built commercial capabilities, led launches, and redesigned operating models for sixteen organizations across life sciences, consumer health, financial services, telecommunications, philanthropy, logistics, and consumer electronics.</w:t>
      </w:r>
    </w:p>
    <w:p w14:paraId="3AADAB60" w14:textId="77777777" w:rsidR="0095465D" w:rsidRDefault="00000000">
      <w:pPr>
        <w:spacing w:before="280" w:after="120"/>
      </w:pPr>
      <w:r>
        <w:rPr>
          <w:b/>
          <w:bCs/>
          <w:color w:val="0F1A2E"/>
          <w:sz w:val="24"/>
          <w:szCs w:val="24"/>
        </w:rPr>
        <w:t>Life sciences and pharma</w:t>
      </w:r>
    </w:p>
    <w:p w14:paraId="33945CC4" w14:textId="77777777" w:rsidR="0095465D" w:rsidRDefault="00000000">
      <w:pPr>
        <w:spacing w:after="160" w:line="320" w:lineRule="auto"/>
      </w:pPr>
      <w:r>
        <w:t>Merck · Novo Nordisk · GSK · Sanofi · Roche · Bristol Myers Squibb · Regeneron · Moderna · Allergan · Galderma</w:t>
      </w:r>
    </w:p>
    <w:p w14:paraId="5DB78B57" w14:textId="77777777" w:rsidR="0095465D" w:rsidRDefault="00000000">
      <w:pPr>
        <w:spacing w:before="280" w:after="120"/>
      </w:pPr>
      <w:r>
        <w:rPr>
          <w:b/>
          <w:bCs/>
          <w:color w:val="0F1A2E"/>
          <w:sz w:val="24"/>
          <w:szCs w:val="24"/>
        </w:rPr>
        <w:t>Consumer and CPG</w:t>
      </w:r>
    </w:p>
    <w:p w14:paraId="65697506" w14:textId="77777777" w:rsidR="0095465D" w:rsidRDefault="00000000">
      <w:pPr>
        <w:spacing w:after="160" w:line="320" w:lineRule="auto"/>
      </w:pPr>
      <w:r>
        <w:t>First Quality</w:t>
      </w:r>
    </w:p>
    <w:p w14:paraId="19BB6104" w14:textId="77777777" w:rsidR="0095465D" w:rsidRDefault="00000000">
      <w:pPr>
        <w:spacing w:before="280" w:after="120"/>
      </w:pPr>
      <w:r>
        <w:rPr>
          <w:b/>
          <w:bCs/>
          <w:color w:val="0F1A2E"/>
          <w:sz w:val="24"/>
          <w:szCs w:val="24"/>
        </w:rPr>
        <w:t>Cross-sector</w:t>
      </w:r>
    </w:p>
    <w:p w14:paraId="44859744" w14:textId="77777777" w:rsidR="0095465D" w:rsidRDefault="00000000">
      <w:pPr>
        <w:spacing w:after="160" w:line="320" w:lineRule="auto"/>
      </w:pPr>
      <w:r>
        <w:t>American Express · AT&amp;T Wireless · Samsung · DHL · Bloomberg Philanthropies</w:t>
      </w:r>
    </w:p>
    <w:p w14:paraId="5408EA1D" w14:textId="77777777" w:rsidR="0095465D" w:rsidRDefault="00000000">
      <w:pPr>
        <w:spacing w:after="160"/>
      </w:pPr>
      <w:r>
        <w:rPr>
          <w:i/>
          <w:iCs/>
          <w:color w:val="6B6B6B"/>
          <w:sz w:val="20"/>
          <w:szCs w:val="20"/>
        </w:rPr>
        <w:t>Logo treatment in a grouped grid, single tonal value, no group headings on the live site.</w:t>
      </w:r>
    </w:p>
    <w:p w14:paraId="750A2F47" w14:textId="77777777" w:rsidR="0095465D" w:rsidRDefault="00000000">
      <w:pPr>
        <w:pBdr>
          <w:bottom w:val="single" w:sz="6" w:space="6" w:color="0F1A2E"/>
        </w:pBdr>
        <w:spacing w:before="480" w:after="200"/>
      </w:pPr>
      <w:r>
        <w:rPr>
          <w:b/>
          <w:bCs/>
          <w:color w:val="0F1A2E"/>
          <w:sz w:val="36"/>
          <w:szCs w:val="36"/>
        </w:rPr>
        <w:t>02 About</w:t>
      </w:r>
    </w:p>
    <w:p w14:paraId="22C4A158" w14:textId="77777777" w:rsidR="0095465D" w:rsidRDefault="00000000">
      <w:pPr>
        <w:spacing w:before="280" w:after="120"/>
      </w:pPr>
      <w:r>
        <w:rPr>
          <w:b/>
          <w:bCs/>
          <w:color w:val="0F1A2E"/>
          <w:sz w:val="24"/>
          <w:szCs w:val="24"/>
        </w:rPr>
        <w:lastRenderedPageBreak/>
        <w:t>Hero</w:t>
      </w:r>
    </w:p>
    <w:p w14:paraId="6C6E6BD5" w14:textId="77777777" w:rsidR="0095465D" w:rsidRDefault="00000000">
      <w:pPr>
        <w:spacing w:before="240" w:after="80"/>
      </w:pPr>
      <w:r>
        <w:rPr>
          <w:color w:val="6B6B6B"/>
          <w:sz w:val="18"/>
          <w:szCs w:val="18"/>
        </w:rPr>
        <w:t>Headline</w:t>
      </w:r>
    </w:p>
    <w:p w14:paraId="632BB36D" w14:textId="77777777" w:rsidR="0095465D" w:rsidRDefault="00000000">
      <w:pPr>
        <w:spacing w:after="200"/>
      </w:pPr>
      <w:r>
        <w:rPr>
          <w:color w:val="0F1A2E"/>
          <w:sz w:val="32"/>
          <w:szCs w:val="32"/>
        </w:rPr>
        <w:t>A career spent building what didn’t exist before.</w:t>
      </w:r>
    </w:p>
    <w:p w14:paraId="1E8F4FEA" w14:textId="77777777" w:rsidR="0095465D" w:rsidRDefault="00000000">
      <w:pPr>
        <w:spacing w:before="240" w:after="80"/>
      </w:pPr>
      <w:r>
        <w:rPr>
          <w:color w:val="6B6B6B"/>
          <w:sz w:val="18"/>
          <w:szCs w:val="18"/>
        </w:rPr>
        <w:t>Subhead</w:t>
      </w:r>
    </w:p>
    <w:p w14:paraId="7AF98C63" w14:textId="77777777" w:rsidR="0095465D" w:rsidRDefault="00000000">
      <w:pPr>
        <w:spacing w:after="160" w:line="320" w:lineRule="auto"/>
      </w:pPr>
      <w:r>
        <w:t>Silvi Haldipur is a commercial executive in life sciences and consumer health whose work has consistently arrived before the industry had a name for it. Twenty years across Fortune 500 organizations. The pattern is conviction at the early window, and the operating discipline to make it last.</w:t>
      </w:r>
    </w:p>
    <w:p w14:paraId="528B9DA3" w14:textId="77777777" w:rsidR="0095465D" w:rsidRDefault="00000000">
      <w:pPr>
        <w:spacing w:before="360" w:after="160"/>
      </w:pPr>
      <w:r>
        <w:rPr>
          <w:b/>
          <w:bCs/>
          <w:color w:val="0F1A2E"/>
          <w:sz w:val="28"/>
          <w:szCs w:val="28"/>
        </w:rPr>
        <w:t>The operator’s through line</w:t>
      </w:r>
    </w:p>
    <w:p w14:paraId="512B50CD" w14:textId="77777777" w:rsidR="0095465D" w:rsidRDefault="00000000">
      <w:pPr>
        <w:pBdr>
          <w:left w:val="single" w:sz="12" w:space="12" w:color="4A2A6B"/>
        </w:pBdr>
        <w:spacing w:after="200" w:line="320" w:lineRule="auto"/>
        <w:ind w:left="240"/>
      </w:pPr>
      <w:r>
        <w:rPr>
          <w:color w:val="0F1A2E"/>
        </w:rPr>
        <w:t>Silvi works at the intersection of three disciplines that rarely sit together: systems thinking, human-centered design, and organizational development. Her career is a sequence of zero-to-one builds inside complex, regulated organizations, each one installing a commercial capability the industry had not yet named.</w:t>
      </w:r>
    </w:p>
    <w:p w14:paraId="05C7B978" w14:textId="77777777" w:rsidR="0095465D" w:rsidRDefault="00000000">
      <w:pPr>
        <w:spacing w:after="160" w:line="320" w:lineRule="auto"/>
      </w:pPr>
      <w:r>
        <w:t>Building commercial organizations that are smarter, faster, and more human is not a design challenge or a technology challenge or a change management challenge. It is all three, at once.</w:t>
      </w:r>
    </w:p>
    <w:p w14:paraId="5A22E0C5" w14:textId="77777777" w:rsidR="0095465D" w:rsidRDefault="00000000">
      <w:pPr>
        <w:spacing w:after="160" w:line="320" w:lineRule="auto"/>
      </w:pPr>
      <w:r>
        <w:t xml:space="preserve">Customer experience installed as a commercial discipline at Merck, when peers were still talking about content. Agile and human-centered design embedded into pharma commercial operations across six international markets. The Flonase Rx-to-OTC launch at GSK, where behavior-led digital community building disrupted a category dominated by oral antihistamines and delivered #1 OTC market share. The consumer segmentation platform Silvi and team built for that launch, anchored in social listening and behavioral archetypes, was later commercialized by Experian. The </w:t>
      </w:r>
      <w:proofErr w:type="spellStart"/>
      <w:r>
        <w:t>Sotatercept</w:t>
      </w:r>
      <w:proofErr w:type="spellEnd"/>
      <w:r>
        <w:t xml:space="preserve"> PAH launch, where journey-level intervention cut time-to-treat by 62.5%. Behavioral intelligence with AI at Novo Nordisk.</w:t>
      </w:r>
    </w:p>
    <w:p w14:paraId="0715DDE8" w14:textId="77777777" w:rsidR="0095465D" w:rsidRDefault="00000000">
      <w:pPr>
        <w:spacing w:after="160" w:line="320" w:lineRule="auto"/>
      </w:pPr>
      <w:r>
        <w:t>Across all of it, the same question. What would have to be true, in data, in decision rights, in workflow, in measurement, in how the team is led, for the strategy to actually work at the operating layer?</w:t>
      </w:r>
    </w:p>
    <w:p w14:paraId="6CEEB5D1" w14:textId="77777777" w:rsidR="0095465D" w:rsidRDefault="00000000">
      <w:pPr>
        <w:spacing w:before="360" w:after="160"/>
      </w:pPr>
      <w:r>
        <w:rPr>
          <w:b/>
          <w:bCs/>
          <w:color w:val="0F1A2E"/>
          <w:sz w:val="28"/>
          <w:szCs w:val="28"/>
        </w:rPr>
        <w:t>How she operates</w:t>
      </w:r>
    </w:p>
    <w:p w14:paraId="1CC1F708" w14:textId="77777777" w:rsidR="0095465D" w:rsidRDefault="00000000">
      <w:pPr>
        <w:spacing w:before="280" w:after="120"/>
      </w:pPr>
      <w:r>
        <w:rPr>
          <w:b/>
          <w:bCs/>
          <w:color w:val="0F1A2E"/>
          <w:sz w:val="24"/>
          <w:szCs w:val="24"/>
        </w:rPr>
        <w:t>Conviction at the early window</w:t>
      </w:r>
    </w:p>
    <w:p w14:paraId="582EBB28" w14:textId="77777777" w:rsidR="0095465D" w:rsidRDefault="00000000">
      <w:pPr>
        <w:spacing w:after="160" w:line="320" w:lineRule="auto"/>
      </w:pPr>
      <w:r>
        <w:t>The capabilities Silvi has installed were not consensus moves at the time. Conviction without operating discipline produces a thought leader. Operating discipline without conviction produces a competent modernizer. The work happens at the seam of both.</w:t>
      </w:r>
    </w:p>
    <w:p w14:paraId="13CED1CA" w14:textId="77777777" w:rsidR="0095465D" w:rsidRDefault="00000000">
      <w:pPr>
        <w:spacing w:before="280" w:after="120"/>
      </w:pPr>
      <w:r>
        <w:rPr>
          <w:b/>
          <w:bCs/>
          <w:color w:val="0F1A2E"/>
          <w:sz w:val="24"/>
          <w:szCs w:val="24"/>
        </w:rPr>
        <w:lastRenderedPageBreak/>
        <w:t>Dynamic range from strategy to execution</w:t>
      </w:r>
    </w:p>
    <w:p w14:paraId="0052E736" w14:textId="77777777" w:rsidR="0095465D" w:rsidRDefault="00000000">
      <w:pPr>
        <w:spacing w:after="160" w:line="320" w:lineRule="auto"/>
      </w:pPr>
      <w:r>
        <w:t>Silvi operates across the full altitude of commercial leadership, moving fluidly between board-level strategy and tactical execution in the same conversation. She has been described by senior leaders as someone who sees the forest and the trees, flexes across leadership styles, and translates between disciplines that rarely sit together. The range is what makes the operating discipline possible.</w:t>
      </w:r>
    </w:p>
    <w:p w14:paraId="077CB845" w14:textId="77777777" w:rsidR="0095465D" w:rsidRDefault="00000000">
      <w:pPr>
        <w:spacing w:before="280" w:after="120"/>
      </w:pPr>
      <w:r>
        <w:rPr>
          <w:b/>
          <w:bCs/>
          <w:color w:val="0F1A2E"/>
          <w:sz w:val="24"/>
          <w:szCs w:val="24"/>
        </w:rPr>
        <w:t>Building inside the organization, not around it</w:t>
      </w:r>
    </w:p>
    <w:p w14:paraId="56B5E4A4" w14:textId="77777777" w:rsidR="0095465D" w:rsidRDefault="00000000">
      <w:pPr>
        <w:spacing w:after="160" w:line="320" w:lineRule="auto"/>
      </w:pPr>
      <w:r>
        <w:t>Functions stood up. Capabilities embedded. New roles created. Decision rights redrawn. Training programs that scale across hundreds of employees. The artifact is never a recommendation. It is a working system that the organization runs after the build is done.</w:t>
      </w:r>
    </w:p>
    <w:p w14:paraId="1B114AED" w14:textId="77777777" w:rsidR="0095465D" w:rsidRDefault="00000000">
      <w:pPr>
        <w:spacing w:before="280" w:after="120"/>
      </w:pPr>
      <w:r>
        <w:rPr>
          <w:b/>
          <w:bCs/>
          <w:color w:val="0F1A2E"/>
          <w:sz w:val="24"/>
          <w:szCs w:val="24"/>
        </w:rPr>
        <w:t>Leading high-performing teams through ambiguity</w:t>
      </w:r>
    </w:p>
    <w:p w14:paraId="01742B1C" w14:textId="77777777" w:rsidR="0095465D" w:rsidRDefault="00000000">
      <w:pPr>
        <w:spacing w:after="160" w:line="320" w:lineRule="auto"/>
      </w:pPr>
      <w:r>
        <w:t>Teams from five people to 500+, in environments where the work has not yet been fully defined. Hiring for ambiguity tolerance. Developing leaders inside the team as the function matures. Uniting cross-functional groups across design, clinical, technology, commercial, and analytics.</w:t>
      </w:r>
    </w:p>
    <w:p w14:paraId="60A68FCF" w14:textId="77777777" w:rsidR="0095465D" w:rsidRDefault="00000000">
      <w:pPr>
        <w:spacing w:before="280" w:after="120"/>
      </w:pPr>
      <w:r>
        <w:rPr>
          <w:b/>
          <w:bCs/>
          <w:color w:val="0F1A2E"/>
          <w:sz w:val="24"/>
          <w:szCs w:val="24"/>
        </w:rPr>
        <w:t>Customer truth as the operating compass</w:t>
      </w:r>
    </w:p>
    <w:p w14:paraId="70E7F2B5" w14:textId="77777777" w:rsidR="0095465D" w:rsidRDefault="00000000">
      <w:pPr>
        <w:spacing w:after="160" w:line="320" w:lineRule="auto"/>
      </w:pPr>
      <w:r>
        <w:t>In ambiguous work, most leaders default to internal logic: what is politically safe, what was done last time, what the consultant slide recommended. Silvi defaults to the customer, whether patient, clinician, consumer, or payer. That is what keeps the new capability from being self-indulgent. It has to work for a real human at the other end.</w:t>
      </w:r>
    </w:p>
    <w:p w14:paraId="0D56EE63" w14:textId="77777777" w:rsidR="0095465D" w:rsidRDefault="00000000">
      <w:pPr>
        <w:spacing w:before="360" w:after="160"/>
      </w:pPr>
      <w:r>
        <w:rPr>
          <w:b/>
          <w:bCs/>
          <w:color w:val="0F1A2E"/>
          <w:sz w:val="28"/>
          <w:szCs w:val="28"/>
        </w:rPr>
        <w:t>Domain depth</w:t>
      </w:r>
    </w:p>
    <w:p w14:paraId="5B03FD57" w14:textId="77777777" w:rsidR="0095465D" w:rsidRDefault="00000000">
      <w:pPr>
        <w:pBdr>
          <w:left w:val="single" w:sz="12" w:space="12" w:color="4A2A6B"/>
        </w:pBdr>
        <w:spacing w:after="200" w:line="320" w:lineRule="auto"/>
        <w:ind w:left="240"/>
      </w:pPr>
      <w:r>
        <w:rPr>
          <w:color w:val="0F1A2E"/>
        </w:rPr>
        <w:t>Silvi’s commercial work has spanned thirteen therapeutic areas, the full healthcare ecosystem from patients to payers, five industries from life sciences to financial services, and both US and international commercial operations across six priority markets in Europe, Asia-Pacific, and Latin America.</w:t>
      </w:r>
    </w:p>
    <w:p w14:paraId="431AE758" w14:textId="77777777" w:rsidR="0095465D" w:rsidRDefault="00000000">
      <w:pPr>
        <w:spacing w:before="280" w:after="120"/>
      </w:pPr>
      <w:r>
        <w:rPr>
          <w:b/>
          <w:bCs/>
          <w:color w:val="0F1A2E"/>
          <w:sz w:val="24"/>
          <w:szCs w:val="24"/>
        </w:rPr>
        <w:t>Geographic experience</w:t>
      </w:r>
    </w:p>
    <w:p w14:paraId="7A29F4A8" w14:textId="77777777" w:rsidR="0095465D" w:rsidRDefault="00000000">
      <w:pPr>
        <w:spacing w:after="160" w:line="320" w:lineRule="auto"/>
      </w:pPr>
      <w:r>
        <w:t>United States commercial leadership across multiple Fortune 500 organizations. International commercial leadership across six priority markets through the Merck Global Human Health Digital Accelerator, spanning Europe, Asia-Pacific, and Latin America. The work has included building operating models that flex across regulatory environments, payer systems, and cultural contexts.</w:t>
      </w:r>
    </w:p>
    <w:p w14:paraId="369BBB21" w14:textId="77777777" w:rsidR="0095465D" w:rsidRDefault="00000000">
      <w:pPr>
        <w:spacing w:before="280" w:after="120"/>
      </w:pPr>
      <w:r>
        <w:rPr>
          <w:b/>
          <w:bCs/>
          <w:color w:val="0F1A2E"/>
          <w:sz w:val="24"/>
          <w:szCs w:val="24"/>
        </w:rPr>
        <w:t>Therapeutic areas</w:t>
      </w:r>
    </w:p>
    <w:p w14:paraId="0F66C2A0" w14:textId="77777777" w:rsidR="0095465D" w:rsidRDefault="00000000">
      <w:pPr>
        <w:spacing w:after="160" w:line="320" w:lineRule="auto"/>
      </w:pPr>
      <w:r>
        <w:lastRenderedPageBreak/>
        <w:t>Obesity · Diabetes · Cardiovascular disease · Neuroscience · Oncology · Biosimilars · Vaccines · Infectious disease · Respiratory · Gastroenterology · Medical devices · Dermatology · Mental health</w:t>
      </w:r>
    </w:p>
    <w:p w14:paraId="74451B3C" w14:textId="77777777" w:rsidR="0095465D" w:rsidRDefault="00000000">
      <w:pPr>
        <w:spacing w:before="280" w:after="120"/>
      </w:pPr>
      <w:r>
        <w:rPr>
          <w:b/>
          <w:bCs/>
          <w:color w:val="0F1A2E"/>
          <w:sz w:val="24"/>
          <w:szCs w:val="24"/>
        </w:rPr>
        <w:t>Healthcare ecosystem</w:t>
      </w:r>
    </w:p>
    <w:p w14:paraId="1A32C5F5" w14:textId="77777777" w:rsidR="0095465D" w:rsidRDefault="00000000">
      <w:pPr>
        <w:spacing w:after="160" w:line="320" w:lineRule="auto"/>
      </w:pPr>
      <w:r>
        <w:t>Patients · Providers · Payers · Regulators · Health systems · Digital health</w:t>
      </w:r>
    </w:p>
    <w:p w14:paraId="28E116E8" w14:textId="77777777" w:rsidR="0095465D" w:rsidRDefault="00000000">
      <w:pPr>
        <w:spacing w:before="280" w:after="120"/>
      </w:pPr>
      <w:r>
        <w:rPr>
          <w:b/>
          <w:bCs/>
          <w:color w:val="0F1A2E"/>
          <w:sz w:val="24"/>
          <w:szCs w:val="24"/>
        </w:rPr>
        <w:t>Industries</w:t>
      </w:r>
    </w:p>
    <w:p w14:paraId="5E388005" w14:textId="77777777" w:rsidR="0095465D" w:rsidRDefault="00000000">
      <w:pPr>
        <w:spacing w:after="160" w:line="320" w:lineRule="auto"/>
      </w:pPr>
      <w:r>
        <w:t>Life sciences · Consumer health · Consumer packaged goods · Health technology · Financial services</w:t>
      </w:r>
    </w:p>
    <w:p w14:paraId="3894336E" w14:textId="77777777" w:rsidR="0095465D" w:rsidRDefault="00000000">
      <w:pPr>
        <w:spacing w:before="360" w:after="160"/>
      </w:pPr>
      <w:r>
        <w:rPr>
          <w:b/>
          <w:bCs/>
          <w:color w:val="0F1A2E"/>
          <w:sz w:val="28"/>
          <w:szCs w:val="28"/>
        </w:rPr>
        <w:t>Core expertise</w:t>
      </w:r>
    </w:p>
    <w:p w14:paraId="2885E737" w14:textId="77777777" w:rsidR="0095465D" w:rsidRDefault="00000000">
      <w:pPr>
        <w:spacing w:after="160" w:line="320" w:lineRule="auto"/>
      </w:pPr>
      <w:r>
        <w:t>Commercial leadership · Capability installation and operating model design · Launch excellence · DTC and Rx-to-OTC strategy · Customer experience as a commercial discipline · AI and behavioral intelligence · Human-centered design · Agile in commercial operations · Measurement and governance · C-suite advisory</w:t>
      </w:r>
    </w:p>
    <w:p w14:paraId="3404042B" w14:textId="77777777" w:rsidR="0095465D" w:rsidRDefault="00000000">
      <w:pPr>
        <w:pBdr>
          <w:bottom w:val="single" w:sz="6" w:space="6" w:color="0F1A2E"/>
        </w:pBdr>
        <w:spacing w:before="480" w:after="200"/>
      </w:pPr>
      <w:r>
        <w:rPr>
          <w:b/>
          <w:bCs/>
          <w:color w:val="0F1A2E"/>
          <w:sz w:val="36"/>
          <w:szCs w:val="36"/>
        </w:rPr>
        <w:t>03 Work</w:t>
      </w:r>
    </w:p>
    <w:p w14:paraId="1920C1A3" w14:textId="77777777" w:rsidR="0095465D" w:rsidRDefault="00000000">
      <w:pPr>
        <w:spacing w:before="280" w:after="120"/>
      </w:pPr>
      <w:r>
        <w:rPr>
          <w:b/>
          <w:bCs/>
          <w:color w:val="0F1A2E"/>
          <w:sz w:val="24"/>
          <w:szCs w:val="24"/>
        </w:rPr>
        <w:t>Hero</w:t>
      </w:r>
    </w:p>
    <w:p w14:paraId="18B13FCB" w14:textId="77777777" w:rsidR="0095465D" w:rsidRDefault="00000000">
      <w:pPr>
        <w:spacing w:before="240" w:after="80"/>
      </w:pPr>
      <w:r>
        <w:rPr>
          <w:color w:val="6B6B6B"/>
          <w:sz w:val="18"/>
          <w:szCs w:val="18"/>
        </w:rPr>
        <w:t>Headline</w:t>
      </w:r>
    </w:p>
    <w:p w14:paraId="62E8FD5A" w14:textId="77777777" w:rsidR="0095465D" w:rsidRDefault="00000000">
      <w:pPr>
        <w:spacing w:after="200"/>
      </w:pPr>
      <w:r>
        <w:rPr>
          <w:color w:val="0F1A2E"/>
          <w:sz w:val="32"/>
          <w:szCs w:val="32"/>
        </w:rPr>
        <w:t>Selected work.</w:t>
      </w:r>
    </w:p>
    <w:p w14:paraId="1F4C3ECA" w14:textId="77777777" w:rsidR="0095465D" w:rsidRDefault="00000000">
      <w:pPr>
        <w:spacing w:before="240" w:after="80"/>
      </w:pPr>
      <w:r>
        <w:rPr>
          <w:color w:val="6B6B6B"/>
          <w:sz w:val="18"/>
          <w:szCs w:val="18"/>
        </w:rPr>
        <w:t>Subhead</w:t>
      </w:r>
    </w:p>
    <w:p w14:paraId="4B117DBC" w14:textId="77777777" w:rsidR="0095465D" w:rsidRDefault="00000000">
      <w:pPr>
        <w:spacing w:after="160" w:line="320" w:lineRule="auto"/>
      </w:pPr>
      <w:r>
        <w:t>Four builds. Each one a capability brought into pharma commercial before consensus, designed around customer truth, and still running after the work was done.</w:t>
      </w:r>
    </w:p>
    <w:p w14:paraId="79117188" w14:textId="77777777" w:rsidR="0095465D" w:rsidRDefault="00000000">
      <w:pPr>
        <w:spacing w:before="360" w:after="160"/>
      </w:pPr>
      <w:r>
        <w:rPr>
          <w:b/>
          <w:bCs/>
          <w:color w:val="0F1A2E"/>
          <w:sz w:val="28"/>
          <w:szCs w:val="28"/>
        </w:rPr>
        <w:t>Case 01. Merck Center of Co-Creation</w:t>
      </w:r>
    </w:p>
    <w:p w14:paraId="2D3D5F40" w14:textId="77777777" w:rsidR="0095465D" w:rsidRDefault="00000000">
      <w:pPr>
        <w:spacing w:after="160"/>
      </w:pPr>
      <w:r>
        <w:rPr>
          <w:i/>
          <w:iCs/>
          <w:color w:val="6B6B6B"/>
          <w:sz w:val="20"/>
          <w:szCs w:val="20"/>
        </w:rPr>
        <w:t>Theme: a new commercial function. Tenure: Merck.</w:t>
      </w:r>
    </w:p>
    <w:p w14:paraId="267BE302" w14:textId="77777777" w:rsidR="0095465D" w:rsidRDefault="00000000">
      <w:pPr>
        <w:pBdr>
          <w:left w:val="single" w:sz="12" w:space="12" w:color="4A2A6B"/>
        </w:pBdr>
        <w:spacing w:after="200" w:line="320" w:lineRule="auto"/>
        <w:ind w:left="240"/>
      </w:pPr>
      <w:r>
        <w:rPr>
          <w:color w:val="0F1A2E"/>
        </w:rPr>
        <w:t>Silvi built Merck’s first Center of Co-Creation, a turnkey enterprise function that integrated customer co-creation into agile commercial decision-making. The outcome was 100% adoption across mature digital execution teams, a 50%+ reduction in time from customer feedback to action, and over $1B in incremental revenue supported across the campaign portfolio.</w:t>
      </w:r>
    </w:p>
    <w:p w14:paraId="79C08583" w14:textId="77777777" w:rsidR="0095465D" w:rsidRDefault="00000000">
      <w:pPr>
        <w:spacing w:after="160" w:line="320" w:lineRule="auto"/>
      </w:pPr>
      <w:r>
        <w:rPr>
          <w:b/>
          <w:bCs/>
        </w:rPr>
        <w:t xml:space="preserve">The situation. </w:t>
      </w:r>
      <w:r>
        <w:t xml:space="preserve">Merck had insights teams, but no enterprise function dedicated to structured customer co-creation operating on agile cadence. Co-creation work was distributed across </w:t>
      </w:r>
      <w:r>
        <w:lastRenderedPageBreak/>
        <w:t>brand teams, methods varied widely, and there was no shared infrastructure to convert customer evidence into commercial decisions at the speed agile teams required.</w:t>
      </w:r>
    </w:p>
    <w:p w14:paraId="69CEDEDC" w14:textId="77777777" w:rsidR="0095465D" w:rsidRDefault="00000000">
      <w:pPr>
        <w:spacing w:after="160" w:line="320" w:lineRule="auto"/>
      </w:pPr>
      <w:r>
        <w:rPr>
          <w:b/>
          <w:bCs/>
        </w:rPr>
        <w:t xml:space="preserve">What Silvi and team built. </w:t>
      </w:r>
      <w:r>
        <w:t>Merck’s first Center of Co-Creation. A turnkey service offering for design research interviews, design sprints, and customer co-creation workshops, anchored by a curated panel of customers and a dedicated co-creation facility. The model was built to operate on agile timelines, facilitated by trained experience design researchers, and integrated directly into how brand and franchise teams already worked.</w:t>
      </w:r>
    </w:p>
    <w:p w14:paraId="404889E5" w14:textId="77777777" w:rsidR="0095465D" w:rsidRDefault="00000000">
      <w:pPr>
        <w:spacing w:after="160" w:line="320" w:lineRule="auto"/>
      </w:pPr>
      <w:r>
        <w:rPr>
          <w:b/>
          <w:bCs/>
        </w:rPr>
        <w:t xml:space="preserve">The outcome. </w:t>
      </w:r>
      <w:r>
        <w:t>100% adoption across mature digital execution teams. 50%+ reduction in time from customer feedback to insight-to-action. Repeat usage across major franchises. Supported $1B+ in incremental revenue across the campaign portfolio. The team’s work also reframed the right problem to solve on several major initiatives, redirecting more than 1,500 hours of work from low-value to high-value paths.</w:t>
      </w:r>
    </w:p>
    <w:p w14:paraId="39DEE637" w14:textId="77777777" w:rsidR="0095465D" w:rsidRDefault="00000000">
      <w:pPr>
        <w:spacing w:before="360" w:after="160"/>
      </w:pPr>
      <w:r>
        <w:rPr>
          <w:b/>
          <w:bCs/>
          <w:color w:val="0F1A2E"/>
          <w:sz w:val="28"/>
          <w:szCs w:val="28"/>
        </w:rPr>
        <w:t xml:space="preserve">Case 02. </w:t>
      </w:r>
      <w:proofErr w:type="spellStart"/>
      <w:r>
        <w:rPr>
          <w:b/>
          <w:bCs/>
          <w:color w:val="0F1A2E"/>
          <w:sz w:val="28"/>
          <w:szCs w:val="28"/>
        </w:rPr>
        <w:t>Sotatercept</w:t>
      </w:r>
      <w:proofErr w:type="spellEnd"/>
      <w:r>
        <w:rPr>
          <w:b/>
          <w:bCs/>
          <w:color w:val="0F1A2E"/>
          <w:sz w:val="28"/>
          <w:szCs w:val="28"/>
        </w:rPr>
        <w:t xml:space="preserve"> PAH launch</w:t>
      </w:r>
    </w:p>
    <w:p w14:paraId="3732A585" w14:textId="77777777" w:rsidR="0095465D" w:rsidRDefault="00000000">
      <w:pPr>
        <w:spacing w:after="160"/>
      </w:pPr>
      <w:r>
        <w:rPr>
          <w:i/>
          <w:iCs/>
          <w:color w:val="6B6B6B"/>
          <w:sz w:val="20"/>
          <w:szCs w:val="20"/>
        </w:rPr>
        <w:t>Theme: launch excellence through journey redesign. Tenure: Merck.</w:t>
      </w:r>
    </w:p>
    <w:p w14:paraId="2D04BB7B" w14:textId="77777777" w:rsidR="0095465D" w:rsidRDefault="00000000">
      <w:pPr>
        <w:pBdr>
          <w:left w:val="single" w:sz="12" w:space="12" w:color="4A2A6B"/>
        </w:pBdr>
        <w:spacing w:after="200" w:line="320" w:lineRule="auto"/>
        <w:ind w:left="240"/>
      </w:pPr>
      <w:r>
        <w:rPr>
          <w:color w:val="0F1A2E"/>
        </w:rPr>
        <w:t xml:space="preserve">Silvi led journey-level intervention design on the </w:t>
      </w:r>
      <w:proofErr w:type="spellStart"/>
      <w:r>
        <w:rPr>
          <w:color w:val="0F1A2E"/>
        </w:rPr>
        <w:t>Sotatercept</w:t>
      </w:r>
      <w:proofErr w:type="spellEnd"/>
      <w:r>
        <w:rPr>
          <w:color w:val="0F1A2E"/>
        </w:rPr>
        <w:t xml:space="preserve"> launch in pulmonary arterial hypertension, reducing time-to-treat by 62.5%. The work targeted five specific friction points in the patient journey and produced a coordinated experience where patients felt supported, providers had the tools to prescribe with confidence, and access barriers were removed before they could compound.</w:t>
      </w:r>
    </w:p>
    <w:p w14:paraId="29992132" w14:textId="77777777" w:rsidR="0095465D" w:rsidRDefault="00000000">
      <w:pPr>
        <w:spacing w:after="160" w:line="320" w:lineRule="auto"/>
      </w:pPr>
      <w:r>
        <w:rPr>
          <w:b/>
          <w:bCs/>
        </w:rPr>
        <w:t xml:space="preserve">The situation. </w:t>
      </w:r>
      <w:r>
        <w:t>A new therapy for pulmonary arterial hypertension, a rare, progressive, life-threatening disease where every week of treatment delay carries real clinical risk. The existing patient journey was fragmented, anxiety-inducing, and operationally inefficient. Five distinct friction points: anxious patients and time-strapped providers during shared decision-making, inefficient enrollment processes causing abandonment, complex coverage approvals taking four-plus weeks, confusing dose coordination and training, and siloed information increasing dropout risk.</w:t>
      </w:r>
    </w:p>
    <w:p w14:paraId="729B47E3" w14:textId="77777777" w:rsidR="0095465D" w:rsidRDefault="00000000">
      <w:pPr>
        <w:spacing w:after="160" w:line="320" w:lineRule="auto"/>
      </w:pPr>
      <w:r>
        <w:rPr>
          <w:b/>
          <w:bCs/>
        </w:rPr>
        <w:t xml:space="preserve">What Silvi and team built. </w:t>
      </w:r>
      <w:r>
        <w:t>A two-phase intervention model targeting each friction point. Phase 1, Shared Decision Making, introduced patient guides, a PAH Navigator support function, and welcome kits to compress prescription acceptance from 12 weeks to 8 to 10. Phase 2, Prescription, Enrollment &amp; Coverage, the launch priority, used streamlined enrollment forms, a market access portal, dedicated case managers, and field support to compress time from prescription to treatment from four weeks to one and a half.</w:t>
      </w:r>
    </w:p>
    <w:p w14:paraId="4A21CFAB" w14:textId="77777777" w:rsidR="0095465D" w:rsidRDefault="00000000">
      <w:pPr>
        <w:spacing w:after="160" w:line="320" w:lineRule="auto"/>
      </w:pPr>
      <w:r>
        <w:rPr>
          <w:b/>
          <w:bCs/>
        </w:rPr>
        <w:lastRenderedPageBreak/>
        <w:t xml:space="preserve">The outcome. </w:t>
      </w:r>
      <w:r>
        <w:t>A 62.5% reduction in time-to-treat. A fragmented journey replaced with a coordinated experience where patients felt supported, providers had the tools to prescribe with confidence, and access barriers were removed before they could compound.</w:t>
      </w:r>
    </w:p>
    <w:p w14:paraId="0E28A4DF" w14:textId="77777777" w:rsidR="0095465D" w:rsidRDefault="00000000">
      <w:pPr>
        <w:spacing w:before="360" w:after="160"/>
      </w:pPr>
      <w:r>
        <w:rPr>
          <w:b/>
          <w:bCs/>
          <w:color w:val="0F1A2E"/>
          <w:sz w:val="28"/>
          <w:szCs w:val="28"/>
        </w:rPr>
        <w:t>Case 03. Flonase Rx-to-OTC launch</w:t>
      </w:r>
    </w:p>
    <w:p w14:paraId="4849B902" w14:textId="77777777" w:rsidR="0095465D" w:rsidRDefault="00000000">
      <w:pPr>
        <w:spacing w:after="160"/>
      </w:pPr>
      <w:r>
        <w:rPr>
          <w:i/>
          <w:iCs/>
          <w:color w:val="6B6B6B"/>
          <w:sz w:val="20"/>
          <w:szCs w:val="20"/>
        </w:rPr>
        <w:t>Theme: category disruption through behavioral insight. Tenure: GSK.</w:t>
      </w:r>
    </w:p>
    <w:p w14:paraId="4F4B4BD4" w14:textId="77777777" w:rsidR="0095465D" w:rsidRDefault="00000000">
      <w:pPr>
        <w:pBdr>
          <w:left w:val="single" w:sz="12" w:space="12" w:color="4A2A6B"/>
        </w:pBdr>
        <w:spacing w:after="200" w:line="320" w:lineRule="auto"/>
        <w:ind w:left="240"/>
      </w:pPr>
      <w:r>
        <w:rPr>
          <w:color w:val="0F1A2E"/>
        </w:rPr>
        <w:t>Silvi contributed to the Flonase Rx-to-OTC launch that disrupted a $4B+ OTC allergy category dominated by oral antihistamines and achieved #1 market share. The launch was built on a behavioral consumer insight, executed through a digital-first community strategy, and powered by a proprietary social listening and consumer segmentation platform that GSK later commercialized through Experian.</w:t>
      </w:r>
    </w:p>
    <w:p w14:paraId="16A8F682" w14:textId="77777777" w:rsidR="0095465D" w:rsidRDefault="00000000">
      <w:pPr>
        <w:spacing w:after="160" w:line="320" w:lineRule="auto"/>
      </w:pPr>
      <w:r>
        <w:rPr>
          <w:b/>
          <w:bCs/>
        </w:rPr>
        <w:t xml:space="preserve">The situation. </w:t>
      </w:r>
      <w:r>
        <w:t>Launching Flonase as an over-the-counter product in one of the most congested categories in consumer healthcare. Seasonal allergy relief was a $4B+ market dominated by established oral antihistamines. The transition required overcoming category inertia, consumer resistance to the nasal spray delivery method, which carried lower consideration than oral options for reasons of comfort and habit, and the perception challenge of moving from prescription to OTC.</w:t>
      </w:r>
    </w:p>
    <w:p w14:paraId="6B05A1AE" w14:textId="77777777" w:rsidR="0095465D" w:rsidRDefault="00000000">
      <w:pPr>
        <w:spacing w:after="160" w:line="320" w:lineRule="auto"/>
      </w:pPr>
      <w:r>
        <w:rPr>
          <w:b/>
          <w:bCs/>
        </w:rPr>
        <w:t xml:space="preserve">What the launch team built, with Silvi’s contributions. </w:t>
      </w:r>
      <w:r>
        <w:t>A digital-first launch strategy under the platform Be Greater Than Your Allergies, built on the consumer insight that allergy sufferers were not just managing symptoms, they were living smaller lives and had resigned themselves to it. The execution combined authentic content depicting real compromises, community-building around reclamation stories, integrated education on multi-symptom relief, and a proprietary social listening and consumer segmentation platform that translated consumer signals into behavioral archetypes and segments in real time, converting them into commercial decisions at the speed of the launch. The insights platform was later commercialized by Experian.</w:t>
      </w:r>
    </w:p>
    <w:p w14:paraId="521882DA" w14:textId="77777777" w:rsidR="0095465D" w:rsidRDefault="00000000">
      <w:pPr>
        <w:spacing w:after="160" w:line="320" w:lineRule="auto"/>
      </w:pPr>
      <w:r>
        <w:rPr>
          <w:b/>
          <w:bCs/>
        </w:rPr>
        <w:t xml:space="preserve">The outcome. </w:t>
      </w:r>
      <w:r>
        <w:t>#1 market share in the OTC allergy category. A category-defining result for a brand transitioning from Rx to OTC against entrenched oral antihistamines, and a blueprint for Rx-to-OTC transitions in the digital age.</w:t>
      </w:r>
    </w:p>
    <w:p w14:paraId="1160BBBE" w14:textId="77777777" w:rsidR="0095465D" w:rsidRDefault="00000000">
      <w:pPr>
        <w:spacing w:before="360" w:after="160"/>
      </w:pPr>
      <w:r>
        <w:rPr>
          <w:b/>
          <w:bCs/>
          <w:color w:val="0F1A2E"/>
          <w:sz w:val="28"/>
          <w:szCs w:val="28"/>
        </w:rPr>
        <w:t>Case 04. Global Human Health Digital Accelerator</w:t>
      </w:r>
    </w:p>
    <w:p w14:paraId="470F13A2" w14:textId="77777777" w:rsidR="0095465D" w:rsidRDefault="00000000">
      <w:pPr>
        <w:spacing w:after="160"/>
      </w:pPr>
      <w:r>
        <w:rPr>
          <w:i/>
          <w:iCs/>
          <w:color w:val="6B6B6B"/>
          <w:sz w:val="20"/>
          <w:szCs w:val="20"/>
        </w:rPr>
        <w:t>Theme: operating model redesign. Tenure: Merck.</w:t>
      </w:r>
    </w:p>
    <w:p w14:paraId="2870FCC1" w14:textId="77777777" w:rsidR="0095465D" w:rsidRDefault="00000000">
      <w:pPr>
        <w:pBdr>
          <w:left w:val="single" w:sz="12" w:space="12" w:color="4A2A6B"/>
        </w:pBdr>
        <w:spacing w:after="200" w:line="320" w:lineRule="auto"/>
        <w:ind w:left="240"/>
      </w:pPr>
      <w:r>
        <w:rPr>
          <w:color w:val="0F1A2E"/>
        </w:rPr>
        <w:t xml:space="preserve">Silvi led the Global Human Health Digital Accelerator, embedding digital, advanced analytics, agile methods, and experience design into Merck’s commercial operating model across six priority international markets. The work codified an end-to-end transformation roadmap, built </w:t>
      </w:r>
      <w:r>
        <w:rPr>
          <w:color w:val="0F1A2E"/>
        </w:rPr>
        <w:lastRenderedPageBreak/>
        <w:t>a tiered training program, and integrated digital competencies into the job descriptions for new commercial hires.</w:t>
      </w:r>
    </w:p>
    <w:p w14:paraId="119D35DB" w14:textId="77777777" w:rsidR="0095465D" w:rsidRDefault="00000000">
      <w:pPr>
        <w:spacing w:after="160" w:line="320" w:lineRule="auto"/>
      </w:pPr>
      <w:r>
        <w:rPr>
          <w:b/>
          <w:bCs/>
        </w:rPr>
        <w:t xml:space="preserve">The situation. </w:t>
      </w:r>
      <w:r>
        <w:t>Merck’s commercial operating model varied across markets, with digital initiatives showing up as bolt-on tactics rather than as embedded business capability. Pockets of innovation existed but did not scale. The organization needed a holistic approach that embedded digital, advanced analytics, agile methods, and experience design into the commercial operating model itself, with governance to sustain it.</w:t>
      </w:r>
    </w:p>
    <w:p w14:paraId="5727DFCF" w14:textId="77777777" w:rsidR="0095465D" w:rsidRDefault="00000000">
      <w:pPr>
        <w:spacing w:after="160" w:line="320" w:lineRule="auto"/>
      </w:pPr>
      <w:r>
        <w:rPr>
          <w:b/>
          <w:bCs/>
        </w:rPr>
        <w:t xml:space="preserve">What Silvi and team built. </w:t>
      </w:r>
      <w:r>
        <w:t>The Global Human Health Digital Accelerator, structured around four pillars: governance and knowledge sharing, digital delivery, digital solutions and global alliances, and customer engagement analytics. The approach was codified into an end-to-end transformation roadmap built on learnings from the France digital transformation and deployed across Merck’s six priority markets. An integrated baseline assessment evaluated 50+ digital capabilities across 34 components, giving each market a customized starting point. A playbook of digital transformation resources and a tiered training program embedded the new capabilities at the team and individual level.</w:t>
      </w:r>
    </w:p>
    <w:p w14:paraId="2FC1EC74" w14:textId="77777777" w:rsidR="0095465D" w:rsidRDefault="00000000">
      <w:pPr>
        <w:spacing w:after="160" w:line="320" w:lineRule="auto"/>
      </w:pPr>
      <w:r>
        <w:rPr>
          <w:b/>
          <w:bCs/>
        </w:rPr>
        <w:t xml:space="preserve">The outcome. </w:t>
      </w:r>
      <w:r>
        <w:t>Digital capabilities embedded into the commercial operating model across six priority markets. New marketing and sales hires onboarded against digital competencies built into the job descriptions themselves. A reusable playbook and a community of practice that scaled the work beyond the original team.</w:t>
      </w:r>
    </w:p>
    <w:p w14:paraId="3D98F954" w14:textId="77777777" w:rsidR="0095465D" w:rsidRDefault="00000000">
      <w:pPr>
        <w:pBdr>
          <w:bottom w:val="single" w:sz="6" w:space="6" w:color="0F1A2E"/>
        </w:pBdr>
        <w:spacing w:before="480" w:after="200"/>
      </w:pPr>
      <w:r>
        <w:rPr>
          <w:b/>
          <w:bCs/>
          <w:color w:val="0F1A2E"/>
          <w:sz w:val="36"/>
          <w:szCs w:val="36"/>
        </w:rPr>
        <w:t>04 Perspectives</w:t>
      </w:r>
    </w:p>
    <w:p w14:paraId="30A1E787" w14:textId="77777777" w:rsidR="0095465D" w:rsidRDefault="00000000">
      <w:pPr>
        <w:spacing w:before="280" w:after="120"/>
      </w:pPr>
      <w:r>
        <w:rPr>
          <w:b/>
          <w:bCs/>
          <w:color w:val="0F1A2E"/>
          <w:sz w:val="24"/>
          <w:szCs w:val="24"/>
        </w:rPr>
        <w:t>Hero</w:t>
      </w:r>
    </w:p>
    <w:p w14:paraId="4E3C01FB" w14:textId="77777777" w:rsidR="0095465D" w:rsidRDefault="00000000">
      <w:pPr>
        <w:spacing w:before="240" w:after="80"/>
      </w:pPr>
      <w:r>
        <w:rPr>
          <w:color w:val="6B6B6B"/>
          <w:sz w:val="18"/>
          <w:szCs w:val="18"/>
        </w:rPr>
        <w:t>Headline</w:t>
      </w:r>
    </w:p>
    <w:p w14:paraId="6F24CF26" w14:textId="77777777" w:rsidR="0095465D" w:rsidRDefault="00000000">
      <w:pPr>
        <w:spacing w:after="200"/>
      </w:pPr>
      <w:r>
        <w:rPr>
          <w:color w:val="0F1A2E"/>
          <w:sz w:val="32"/>
          <w:szCs w:val="32"/>
        </w:rPr>
        <w:t>Care That Works.</w:t>
      </w:r>
    </w:p>
    <w:p w14:paraId="722BE441" w14:textId="77777777" w:rsidR="0095465D" w:rsidRDefault="00000000">
      <w:pPr>
        <w:spacing w:before="240" w:after="80"/>
      </w:pPr>
      <w:r>
        <w:rPr>
          <w:color w:val="6B6B6B"/>
          <w:sz w:val="18"/>
          <w:szCs w:val="18"/>
        </w:rPr>
        <w:t>Subhead</w:t>
      </w:r>
    </w:p>
    <w:p w14:paraId="18E090C5" w14:textId="77777777" w:rsidR="0095465D" w:rsidRDefault="00000000">
      <w:pPr>
        <w:spacing w:after="160" w:line="320" w:lineRule="auto"/>
      </w:pPr>
      <w:r>
        <w:t>A framework, an argument, and a body of writing on what it actually takes to bridge the gap between strategy and execution in life sciences, and on where the next operating model for pharma commercial is going.</w:t>
      </w:r>
    </w:p>
    <w:p w14:paraId="7A1E927B" w14:textId="77777777" w:rsidR="0095465D" w:rsidRDefault="00000000">
      <w:pPr>
        <w:spacing w:before="360" w:after="160"/>
      </w:pPr>
      <w:r>
        <w:rPr>
          <w:b/>
          <w:bCs/>
          <w:color w:val="0F1A2E"/>
          <w:sz w:val="28"/>
          <w:szCs w:val="28"/>
        </w:rPr>
        <w:t>The argument</w:t>
      </w:r>
    </w:p>
    <w:p w14:paraId="01E66C61" w14:textId="77777777" w:rsidR="0095465D" w:rsidRDefault="00000000">
      <w:pPr>
        <w:pBdr>
          <w:left w:val="single" w:sz="12" w:space="12" w:color="4A2A6B"/>
        </w:pBdr>
        <w:spacing w:after="200" w:line="320" w:lineRule="auto"/>
        <w:ind w:left="240"/>
      </w:pPr>
      <w:r>
        <w:rPr>
          <w:color w:val="0F1A2E"/>
        </w:rPr>
        <w:t xml:space="preserve">Most transformation efforts in life sciences fail for structural reasons, not creative ones. McKinsey research indicates over 70% of transformations stall during execution. The breakdown happens at the operating layer where capacity is missing, signals are too thin, </w:t>
      </w:r>
      <w:r>
        <w:rPr>
          <w:color w:val="0F1A2E"/>
        </w:rPr>
        <w:lastRenderedPageBreak/>
        <w:t>cultures are misaligned, and the change never gets hardcoded into how the organization actually works. Care That Works is the framework for the four conditions that have to be true for transformation to deliver outcomes rather than declarations.</w:t>
      </w:r>
    </w:p>
    <w:p w14:paraId="7FD863BB" w14:textId="77777777" w:rsidR="0095465D" w:rsidRDefault="00000000">
      <w:pPr>
        <w:spacing w:before="360" w:after="160"/>
      </w:pPr>
      <w:r>
        <w:rPr>
          <w:b/>
          <w:bCs/>
          <w:color w:val="0F1A2E"/>
          <w:sz w:val="28"/>
          <w:szCs w:val="28"/>
        </w:rPr>
        <w:t>The four principles of Care That Works</w:t>
      </w:r>
    </w:p>
    <w:p w14:paraId="2B76FA5E" w14:textId="77777777" w:rsidR="0095465D" w:rsidRDefault="00000000">
      <w:pPr>
        <w:spacing w:before="280" w:after="120"/>
      </w:pPr>
      <w:r>
        <w:rPr>
          <w:b/>
          <w:bCs/>
          <w:color w:val="0F1A2E"/>
          <w:sz w:val="24"/>
          <w:szCs w:val="24"/>
        </w:rPr>
        <w:t>Capacity</w:t>
      </w:r>
    </w:p>
    <w:p w14:paraId="0E6FB541" w14:textId="77777777" w:rsidR="0095465D" w:rsidRDefault="00000000">
      <w:pPr>
        <w:spacing w:after="160" w:line="320" w:lineRule="auto"/>
      </w:pPr>
      <w:r>
        <w:t>Transformation isn’t a failure of vision. It’s a failure of capacity. Most organizations have the empathy to start a change but lack the operational hardcoding to sustain it.</w:t>
      </w:r>
    </w:p>
    <w:p w14:paraId="6E892E91" w14:textId="77777777" w:rsidR="0095465D" w:rsidRDefault="00000000">
      <w:pPr>
        <w:spacing w:before="280" w:after="120"/>
      </w:pPr>
      <w:r>
        <w:rPr>
          <w:b/>
          <w:bCs/>
          <w:color w:val="0F1A2E"/>
          <w:sz w:val="24"/>
          <w:szCs w:val="24"/>
        </w:rPr>
        <w:t>Thick data</w:t>
      </w:r>
    </w:p>
    <w:p w14:paraId="1FCC541C" w14:textId="77777777" w:rsidR="0095465D" w:rsidRDefault="00000000">
      <w:pPr>
        <w:spacing w:after="160" w:line="320" w:lineRule="auto"/>
      </w:pPr>
      <w:r>
        <w:t>Strategy is only as good as the behavior it observes. Thin data produces thin results. Thick behavioral data identifies the specific human friction points that drain a system’s capacity. Stop funding initiatives that conflict with how people actually behave.</w:t>
      </w:r>
    </w:p>
    <w:p w14:paraId="7CC36B25" w14:textId="77777777" w:rsidR="0095465D" w:rsidRDefault="00000000">
      <w:pPr>
        <w:spacing w:before="280" w:after="120"/>
      </w:pPr>
      <w:r>
        <w:rPr>
          <w:b/>
          <w:bCs/>
          <w:color w:val="0F1A2E"/>
          <w:sz w:val="24"/>
          <w:szCs w:val="24"/>
        </w:rPr>
        <w:t>Culture sync</w:t>
      </w:r>
    </w:p>
    <w:p w14:paraId="6FF25463" w14:textId="77777777" w:rsidR="0095465D" w:rsidRDefault="00000000">
      <w:pPr>
        <w:spacing w:after="160" w:line="320" w:lineRule="auto"/>
      </w:pPr>
      <w:r>
        <w:t>You cannot scale care through a fractured culture. Employee experience is the ceiling of outcome performance. When culture and process are synchronized, excellence becomes the default output and throughput rises without adding headcount.</w:t>
      </w:r>
    </w:p>
    <w:p w14:paraId="3E9C542C" w14:textId="77777777" w:rsidR="0095465D" w:rsidRDefault="00000000">
      <w:pPr>
        <w:spacing w:before="280" w:after="120"/>
      </w:pPr>
      <w:r>
        <w:rPr>
          <w:b/>
          <w:bCs/>
          <w:color w:val="0F1A2E"/>
          <w:sz w:val="24"/>
          <w:szCs w:val="24"/>
        </w:rPr>
        <w:t>Hardcoding</w:t>
      </w:r>
    </w:p>
    <w:p w14:paraId="0E55FFB8" w14:textId="77777777" w:rsidR="0095465D" w:rsidRDefault="00000000">
      <w:pPr>
        <w:spacing w:after="160" w:line="320" w:lineRule="auto"/>
      </w:pPr>
      <w:r>
        <w:t>Reliability is the highest form of empathy. Individual heroism doesn’t scale. Hardcoding care into the operating model means aligning technology and process so the right path for the customer is the easiest path for staff.</w:t>
      </w:r>
    </w:p>
    <w:p w14:paraId="143FE042" w14:textId="77777777" w:rsidR="0095465D" w:rsidRDefault="00000000">
      <w:pPr>
        <w:spacing w:before="360" w:after="160"/>
      </w:pPr>
      <w:r>
        <w:rPr>
          <w:b/>
          <w:bCs/>
          <w:color w:val="0F1A2E"/>
          <w:sz w:val="28"/>
          <w:szCs w:val="28"/>
        </w:rPr>
        <w:t>What’s next: persistence-based care design</w:t>
      </w:r>
    </w:p>
    <w:p w14:paraId="718AF01B" w14:textId="77777777" w:rsidR="0095465D" w:rsidRDefault="00000000">
      <w:pPr>
        <w:pBdr>
          <w:left w:val="single" w:sz="12" w:space="12" w:color="4A2A6B"/>
        </w:pBdr>
        <w:spacing w:after="200" w:line="320" w:lineRule="auto"/>
        <w:ind w:left="240"/>
      </w:pPr>
      <w:r>
        <w:rPr>
          <w:color w:val="0F1A2E"/>
        </w:rPr>
        <w:t>The next commercial capability pharma will need is a full operating model for persistence-based care design, built around what keeps patients on therapy and on the right care path over time, rather than around the discrete commercial events of acquisition and conversion. Three forces are converging to make this the defining shift: GLP-1 economics where persistence is the dominant commercial variable, payer pressure that contracts on adherence and outcomes, AI that finally makes behavioral intervention at scale operationally feasible, and policy shifts including the IRA and value-based care reforms that make the old launch-acquisition model less defensible.</w:t>
      </w:r>
    </w:p>
    <w:p w14:paraId="7A2A3B7C" w14:textId="77777777" w:rsidR="0095465D" w:rsidRDefault="00000000">
      <w:pPr>
        <w:spacing w:after="160" w:line="320" w:lineRule="auto"/>
      </w:pPr>
      <w:r>
        <w:t>Silvi is building the operating model framework for it, drawing on twenty years of commercial experience and the behavioral intelligence work at Novo Nordisk. The first piece of public writing on the framework lives below. More to follow.</w:t>
      </w:r>
    </w:p>
    <w:p w14:paraId="4138F1AB" w14:textId="77777777" w:rsidR="0095465D" w:rsidRDefault="00000000">
      <w:pPr>
        <w:spacing w:before="360" w:after="160"/>
      </w:pPr>
      <w:r>
        <w:rPr>
          <w:b/>
          <w:bCs/>
          <w:color w:val="0F1A2E"/>
          <w:sz w:val="28"/>
          <w:szCs w:val="28"/>
        </w:rPr>
        <w:lastRenderedPageBreak/>
        <w:t>The keynote</w:t>
      </w:r>
    </w:p>
    <w:p w14:paraId="409BFD12" w14:textId="77777777" w:rsidR="0095465D" w:rsidRDefault="00000000">
      <w:pPr>
        <w:spacing w:after="160"/>
      </w:pPr>
      <w:r>
        <w:rPr>
          <w:i/>
          <w:iCs/>
          <w:color w:val="6B6B6B"/>
          <w:sz w:val="20"/>
          <w:szCs w:val="20"/>
        </w:rPr>
        <w:t>You Are Not Broken, The System Is. 2026 PanAgora Pharma CX Summit. March 25, 2026.</w:t>
      </w:r>
    </w:p>
    <w:p w14:paraId="3B486E1C" w14:textId="77777777" w:rsidR="0095465D" w:rsidRDefault="00000000">
      <w:pPr>
        <w:spacing w:after="160" w:line="320" w:lineRule="auto"/>
      </w:pPr>
      <w:r>
        <w:t>Silvi opened her keynote with two questions for the room. How many of you have a patient-centric mission? How many of you are compensated for the quality of the experience? The gap between the two answers, she argued, is not a CX problem. It is a structural problem.</w:t>
      </w:r>
    </w:p>
    <w:p w14:paraId="64B50874" w14:textId="77777777" w:rsidR="0095465D" w:rsidRDefault="00000000">
      <w:pPr>
        <w:spacing w:after="160" w:line="320" w:lineRule="auto"/>
      </w:pPr>
      <w:r>
        <w:t>The argument that followed traced the math employees are actually doing. Companies say experience quality matters but measure quarterly commercial KPIs. They reward operational throughput over patient persistence. They fund cross-functional collaboration in stated values and individual department budgets in practice. CX, in this system, becomes an elective.</w:t>
      </w:r>
    </w:p>
    <w:p w14:paraId="101233A5" w14:textId="77777777" w:rsidR="0095465D" w:rsidRDefault="00000000">
      <w:pPr>
        <w:spacing w:after="160" w:line="320" w:lineRule="auto"/>
      </w:pPr>
      <w:r>
        <w:t>What good looks like, Silvi argued, can be seen in rare disease. Patient-centered, high-touch, low-volume care models built around persistence and the emotional peak-end rule are not nicer versions of standard pharma. They are structurally different. They make patient outcomes equal to organizational success, not adjacent to it.</w:t>
      </w:r>
    </w:p>
    <w:p w14:paraId="2553EAD4" w14:textId="77777777" w:rsidR="0095465D" w:rsidRDefault="00000000">
      <w:pPr>
        <w:spacing w:after="160" w:line="320" w:lineRule="auto"/>
      </w:pPr>
      <w:r>
        <w:t>The path forward is not more empathy training. It is five concrete moves practitioners can run on Monday. Sit down with finance and HR, not just marketing. Audit metrics against stated goals and circle the gaps. Reframe CX as clinical continuity and persistence, not operational expense, in language CFOs understand. Pilot cross-functional performance alignment in one willing team. Make the business case in their language, mapping experience to forecasting accuracy, real-world evidence, and access program ROI.</w:t>
      </w:r>
    </w:p>
    <w:p w14:paraId="1F648F19" w14:textId="77777777" w:rsidR="0095465D" w:rsidRDefault="00000000">
      <w:pPr>
        <w:spacing w:after="160" w:line="320" w:lineRule="auto"/>
      </w:pPr>
      <w:r>
        <w:t>The system is broken. No one in the room is powerless.</w:t>
      </w:r>
    </w:p>
    <w:p w14:paraId="6FD281E1" w14:textId="77777777" w:rsidR="0095465D" w:rsidRDefault="00000000">
      <w:pPr>
        <w:spacing w:before="360" w:after="160"/>
      </w:pPr>
      <w:r>
        <w:rPr>
          <w:b/>
          <w:bCs/>
          <w:color w:val="0F1A2E"/>
          <w:sz w:val="28"/>
          <w:szCs w:val="28"/>
        </w:rPr>
        <w:t>Writing</w:t>
      </w:r>
    </w:p>
    <w:p w14:paraId="79CD7FBC" w14:textId="77777777" w:rsidR="0095465D" w:rsidRDefault="00000000">
      <w:pPr>
        <w:spacing w:after="160" w:line="320" w:lineRule="auto"/>
      </w:pPr>
      <w:r>
        <w:t>Essays and longer pieces on the operating layer of pharma commercial. New writing posted as it is completed.</w:t>
      </w:r>
    </w:p>
    <w:p w14:paraId="5BAA37D2" w14:textId="77777777" w:rsidR="0095465D" w:rsidRDefault="00000000">
      <w:pPr>
        <w:pBdr>
          <w:bottom w:val="single" w:sz="6" w:space="6" w:color="0F1A2E"/>
        </w:pBdr>
        <w:spacing w:before="480" w:after="200"/>
      </w:pPr>
      <w:r>
        <w:rPr>
          <w:b/>
          <w:bCs/>
          <w:color w:val="0F1A2E"/>
          <w:sz w:val="36"/>
          <w:szCs w:val="36"/>
        </w:rPr>
        <w:t>05 Contact</w:t>
      </w:r>
    </w:p>
    <w:p w14:paraId="2C2C5C1E" w14:textId="77777777" w:rsidR="0095465D" w:rsidRDefault="00000000">
      <w:pPr>
        <w:spacing w:before="280" w:after="120"/>
      </w:pPr>
      <w:r>
        <w:rPr>
          <w:b/>
          <w:bCs/>
          <w:color w:val="0F1A2E"/>
          <w:sz w:val="24"/>
          <w:szCs w:val="24"/>
        </w:rPr>
        <w:t>Hero</w:t>
      </w:r>
    </w:p>
    <w:p w14:paraId="3CD6A2CC" w14:textId="77777777" w:rsidR="0095465D" w:rsidRDefault="00000000">
      <w:pPr>
        <w:spacing w:before="240" w:after="80"/>
      </w:pPr>
      <w:r>
        <w:rPr>
          <w:color w:val="6B6B6B"/>
          <w:sz w:val="18"/>
          <w:szCs w:val="18"/>
        </w:rPr>
        <w:t>Headline</w:t>
      </w:r>
    </w:p>
    <w:p w14:paraId="113032EB" w14:textId="77777777" w:rsidR="0095465D" w:rsidRDefault="00000000">
      <w:pPr>
        <w:spacing w:after="200"/>
      </w:pPr>
      <w:r>
        <w:rPr>
          <w:color w:val="0F1A2E"/>
          <w:sz w:val="32"/>
          <w:szCs w:val="32"/>
        </w:rPr>
        <w:t>Get in touch.</w:t>
      </w:r>
    </w:p>
    <w:p w14:paraId="011E2DCD" w14:textId="77777777" w:rsidR="0095465D" w:rsidRDefault="00000000">
      <w:pPr>
        <w:spacing w:before="280" w:after="120"/>
      </w:pPr>
      <w:r>
        <w:rPr>
          <w:b/>
          <w:bCs/>
          <w:color w:val="0F1A2E"/>
          <w:sz w:val="24"/>
          <w:szCs w:val="24"/>
        </w:rPr>
        <w:t>Contact block</w:t>
      </w:r>
    </w:p>
    <w:p w14:paraId="7DCFCF6F" w14:textId="77777777" w:rsidR="0095465D" w:rsidRDefault="00000000">
      <w:pPr>
        <w:spacing w:after="160" w:line="320" w:lineRule="auto"/>
      </w:pPr>
      <w:r>
        <w:t>For executive opportunities: (email)</w:t>
      </w:r>
    </w:p>
    <w:p w14:paraId="2855DDD9" w14:textId="77777777" w:rsidR="0095465D" w:rsidRDefault="00000000">
      <w:pPr>
        <w:spacing w:after="160" w:line="320" w:lineRule="auto"/>
      </w:pPr>
      <w:r>
        <w:lastRenderedPageBreak/>
        <w:t>For speaking and advisory: (email)</w:t>
      </w:r>
    </w:p>
    <w:p w14:paraId="012C8AE7" w14:textId="77777777" w:rsidR="0095465D" w:rsidRDefault="00000000">
      <w:pPr>
        <w:spacing w:after="160" w:line="320" w:lineRule="auto"/>
      </w:pPr>
      <w:r>
        <w:t>For everything else: (email or LinkedIn link)</w:t>
      </w:r>
    </w:p>
    <w:p w14:paraId="24D974D2" w14:textId="77777777" w:rsidR="0095465D" w:rsidRDefault="00000000">
      <w:pPr>
        <w:spacing w:after="160" w:line="320" w:lineRule="auto"/>
      </w:pPr>
      <w:r>
        <w:t>LinkedIn: linkedin.com/in/</w:t>
      </w:r>
      <w:proofErr w:type="spellStart"/>
      <w:r>
        <w:t>silvihaldipur</w:t>
      </w:r>
      <w:proofErr w:type="spellEnd"/>
    </w:p>
    <w:p w14:paraId="456358E8" w14:textId="77777777" w:rsidR="0095465D" w:rsidRDefault="00000000">
      <w:pPr>
        <w:spacing w:before="280" w:after="120"/>
      </w:pPr>
      <w:r>
        <w:rPr>
          <w:b/>
          <w:bCs/>
          <w:color w:val="0F1A2E"/>
          <w:sz w:val="24"/>
          <w:szCs w:val="24"/>
        </w:rPr>
        <w:t>Footer</w:t>
      </w:r>
    </w:p>
    <w:p w14:paraId="0F569F9A" w14:textId="77777777" w:rsidR="0095465D" w:rsidRDefault="00000000">
      <w:pPr>
        <w:spacing w:after="160" w:line="320" w:lineRule="auto"/>
      </w:pPr>
      <w:r>
        <w:t>Silvi Haldipur</w:t>
      </w:r>
    </w:p>
    <w:p w14:paraId="0935948A" w14:textId="77777777" w:rsidR="0095465D" w:rsidRDefault="00000000">
      <w:pPr>
        <w:spacing w:after="160" w:line="320" w:lineRule="auto"/>
      </w:pPr>
      <w:r>
        <w:t>Commercial executive. Life sciences and consumer health.</w:t>
      </w:r>
    </w:p>
    <w:p w14:paraId="67903172" w14:textId="77777777" w:rsidR="0095465D" w:rsidRDefault="00000000">
      <w:pPr>
        <w:spacing w:after="160" w:line="320" w:lineRule="auto"/>
      </w:pPr>
      <w:r>
        <w:t>Greater Philadelphia</w:t>
      </w:r>
    </w:p>
    <w:p w14:paraId="21C5CEEA" w14:textId="77777777" w:rsidR="0095465D" w:rsidRDefault="00000000">
      <w:pPr>
        <w:spacing w:after="160" w:line="320" w:lineRule="auto"/>
      </w:pPr>
      <w:r>
        <w:t>01 Home · 02 About · 03 Work · 04 Perspectives · 05 Contact</w:t>
      </w:r>
    </w:p>
    <w:p w14:paraId="3C9F9B15" w14:textId="77777777" w:rsidR="0095465D" w:rsidRDefault="00000000">
      <w:pPr>
        <w:spacing w:after="160" w:line="320" w:lineRule="auto"/>
      </w:pPr>
      <w:r>
        <w:t>LinkedIn · Email</w:t>
      </w:r>
    </w:p>
    <w:p w14:paraId="520D57AF" w14:textId="77777777" w:rsidR="0095465D" w:rsidRDefault="00000000">
      <w:pPr>
        <w:spacing w:after="160" w:line="320" w:lineRule="auto"/>
      </w:pPr>
      <w:r>
        <w:t>© 2026 Silvi Haldipur</w:t>
      </w:r>
    </w:p>
    <w:p w14:paraId="64E9B35B" w14:textId="77777777" w:rsidR="0095465D" w:rsidRDefault="00000000">
      <w:pPr>
        <w:pBdr>
          <w:bottom w:val="single" w:sz="6" w:space="6" w:color="0F1A2E"/>
        </w:pBdr>
        <w:spacing w:before="480" w:after="200"/>
      </w:pPr>
      <w:r>
        <w:rPr>
          <w:b/>
          <w:bCs/>
          <w:color w:val="0F1A2E"/>
          <w:sz w:val="36"/>
          <w:szCs w:val="36"/>
        </w:rPr>
        <w:t>Change notes (v9 → v9.1)</w:t>
      </w:r>
    </w:p>
    <w:p w14:paraId="7492A1A4" w14:textId="77777777" w:rsidR="0095465D" w:rsidRDefault="00000000">
      <w:pPr>
        <w:spacing w:before="280" w:after="120"/>
      </w:pPr>
      <w:r>
        <w:rPr>
          <w:b/>
          <w:bCs/>
          <w:color w:val="0F1A2E"/>
          <w:sz w:val="24"/>
          <w:szCs w:val="24"/>
        </w:rPr>
        <w:t>Dupixent indication corrected</w:t>
      </w:r>
    </w:p>
    <w:p w14:paraId="38500CE3" w14:textId="77777777" w:rsidR="0095465D" w:rsidRDefault="00000000">
      <w:pPr>
        <w:spacing w:after="160" w:line="320" w:lineRule="auto"/>
      </w:pPr>
      <w:r>
        <w:t>Updated from atopic dermatitis to asthma per direction. Both the Launches that have defined categories section on Home and the What She Has Built section now read "Dupixent in asthma." If you contributed to the original 2017 AD launch as well as the asthma launch, the line can be expanded to "Dupixent across asthma and atopic dermatitis" — verify before publishing.</w:t>
      </w:r>
    </w:p>
    <w:p w14:paraId="720B2120" w14:textId="77777777" w:rsidR="0095465D" w:rsidRDefault="00000000">
      <w:pPr>
        <w:spacing w:before="280" w:after="120"/>
      </w:pPr>
      <w:r>
        <w:rPr>
          <w:b/>
          <w:bCs/>
          <w:color w:val="0F1A2E"/>
          <w:sz w:val="24"/>
          <w:szCs w:val="24"/>
        </w:rPr>
        <w:t>Agile restored in Digital Accelerator</w:t>
      </w:r>
    </w:p>
    <w:p w14:paraId="3002BF76" w14:textId="77777777" w:rsidR="0095465D" w:rsidRDefault="00000000">
      <w:pPr>
        <w:spacing w:after="160" w:line="320" w:lineRule="auto"/>
      </w:pPr>
      <w:r>
        <w:t>Agile methods are now named explicitly in the Digital Accelerator case study, both in the answer lead and in the situation paragraph. The full capability stack the Digital Accelerator embedded is now: digital, advanced analytics, agile methods, and experience design.</w:t>
      </w:r>
    </w:p>
    <w:p w14:paraId="7477EF00" w14:textId="77777777" w:rsidR="0095465D" w:rsidRDefault="00000000">
      <w:pPr>
        <w:spacing w:before="280" w:after="120"/>
      </w:pPr>
      <w:r>
        <w:rPr>
          <w:b/>
          <w:bCs/>
          <w:color w:val="0F1A2E"/>
          <w:sz w:val="24"/>
          <w:szCs w:val="24"/>
        </w:rPr>
        <w:t>US and international experience</w:t>
      </w:r>
    </w:p>
    <w:p w14:paraId="3818CABC" w14:textId="77777777" w:rsidR="0095465D" w:rsidRDefault="00000000">
      <w:pPr>
        <w:spacing w:after="160" w:line="320" w:lineRule="auto"/>
      </w:pPr>
      <w:r>
        <w:t>Added throughout. The Home through line answer lead now reads "across both US and international commercial operations in six priority markets." The About Domain depth section gains a new Geographic experience subsection that names US Fortune 500 commercial leadership and international leadership across Europe, Asia-Pacific, and Latin America via the Merck Digital Accelerator. This is a real differentiator: most pharma commercial executives have either deep US experience or international experience, not both.</w:t>
      </w:r>
    </w:p>
    <w:p w14:paraId="2A267254" w14:textId="77777777" w:rsidR="0095465D" w:rsidRDefault="00000000">
      <w:pPr>
        <w:pBdr>
          <w:bottom w:val="single" w:sz="6" w:space="6" w:color="0F1A2E"/>
        </w:pBdr>
        <w:spacing w:before="480" w:after="200"/>
      </w:pPr>
      <w:r>
        <w:rPr>
          <w:b/>
          <w:bCs/>
          <w:color w:val="0F1A2E"/>
          <w:sz w:val="36"/>
          <w:szCs w:val="36"/>
        </w:rPr>
        <w:lastRenderedPageBreak/>
        <w:t>Change notes (v8 → v9)</w:t>
      </w:r>
    </w:p>
    <w:p w14:paraId="1FFCC6CD" w14:textId="77777777" w:rsidR="0095465D" w:rsidRDefault="00000000">
      <w:pPr>
        <w:spacing w:before="280" w:after="120"/>
      </w:pPr>
      <w:r>
        <w:rPr>
          <w:b/>
          <w:bCs/>
          <w:color w:val="0F1A2E"/>
          <w:sz w:val="24"/>
          <w:szCs w:val="24"/>
        </w:rPr>
        <w:t>Role tag</w:t>
      </w:r>
    </w:p>
    <w:p w14:paraId="3F63687C" w14:textId="77777777" w:rsidR="0095465D" w:rsidRDefault="00000000">
      <w:pPr>
        <w:spacing w:after="160" w:line="320" w:lineRule="auto"/>
      </w:pPr>
      <w:r>
        <w:t>Updated to "Commercial executive. Life sciences and consumer health." This broadens from "pharma" to honestly include GSK consumer health and First Quality CPG work, while keeping the commercial lens that is the differentiator. CPG is claimed in context (First Quality case mention, Industries list).</w:t>
      </w:r>
    </w:p>
    <w:p w14:paraId="63AC37DC" w14:textId="77777777" w:rsidR="0095465D" w:rsidRDefault="00000000">
      <w:pPr>
        <w:spacing w:before="280" w:after="120"/>
      </w:pPr>
      <w:r>
        <w:rPr>
          <w:b/>
          <w:bCs/>
          <w:color w:val="0F1A2E"/>
          <w:sz w:val="24"/>
          <w:szCs w:val="24"/>
        </w:rPr>
        <w:t>Em dashes</w:t>
      </w:r>
    </w:p>
    <w:p w14:paraId="60E7D274" w14:textId="77777777" w:rsidR="0095465D" w:rsidRDefault="00000000">
      <w:pPr>
        <w:spacing w:after="160" w:line="320" w:lineRule="auto"/>
      </w:pPr>
      <w:r>
        <w:t>Removed where they were decorative. Held where genuinely the right punctuation (the hero, a few pull-quotes). Most prose now uses commas or periods for cleaner flow.</w:t>
      </w:r>
    </w:p>
    <w:p w14:paraId="38819CAF" w14:textId="77777777" w:rsidR="0095465D" w:rsidRDefault="00000000">
      <w:pPr>
        <w:spacing w:before="280" w:after="120"/>
      </w:pPr>
      <w:r>
        <w:rPr>
          <w:b/>
          <w:bCs/>
          <w:color w:val="0F1A2E"/>
          <w:sz w:val="24"/>
          <w:szCs w:val="24"/>
        </w:rPr>
        <w:t>Headline</w:t>
      </w:r>
    </w:p>
    <w:p w14:paraId="5F64B8AB" w14:textId="77777777" w:rsidR="0095465D" w:rsidRDefault="00000000">
      <w:pPr>
        <w:spacing w:after="160" w:line="320" w:lineRule="auto"/>
      </w:pPr>
      <w:r>
        <w:t>Held from v8. The genuine path to a sharper headline is either a Tahl Raz tier ghostwriter ($15-50K, interview-based) or a Pentagram/Order/Mother Design strategist-plus-writer pairing. Alternatively: revisit in 90 days after two or three more pieces of persistence-based care design writing are published. At that point the right headline may be self-evident.</w:t>
      </w:r>
    </w:p>
    <w:p w14:paraId="360D62D2" w14:textId="77777777" w:rsidR="0095465D" w:rsidRDefault="00000000">
      <w:pPr>
        <w:spacing w:before="280" w:after="120"/>
      </w:pPr>
      <w:r>
        <w:rPr>
          <w:b/>
          <w:bCs/>
          <w:color w:val="0F1A2E"/>
          <w:sz w:val="24"/>
          <w:szCs w:val="24"/>
        </w:rPr>
        <w:t>Subhead</w:t>
      </w:r>
    </w:p>
    <w:p w14:paraId="3A94DEF1" w14:textId="77777777" w:rsidR="0095465D" w:rsidRDefault="00000000">
      <w:pPr>
        <w:spacing w:after="160" w:line="320" w:lineRule="auto"/>
      </w:pPr>
      <w:r>
        <w:t>Held from v8 (user noted it was good).</w:t>
      </w:r>
    </w:p>
    <w:p w14:paraId="7C39966B" w14:textId="77777777" w:rsidR="0095465D" w:rsidRDefault="00000000">
      <w:pPr>
        <w:spacing w:before="280" w:after="120"/>
      </w:pPr>
      <w:r>
        <w:rPr>
          <w:b/>
          <w:bCs/>
          <w:color w:val="0F1A2E"/>
          <w:sz w:val="24"/>
          <w:szCs w:val="24"/>
        </w:rPr>
        <w:t>Experian and AI</w:t>
      </w:r>
    </w:p>
    <w:p w14:paraId="484C8307" w14:textId="77777777" w:rsidR="0095465D" w:rsidRDefault="00000000">
      <w:pPr>
        <w:spacing w:after="160" w:line="320" w:lineRule="auto"/>
      </w:pPr>
      <w:r>
        <w:t>All references corrected. The Experian platform is now consistently described as a social listening and consumer segmentation platform that built behavioral archetypes and segments. AI is reserved for the Novo Nordisk work, where it is accurate. The "is AI debating belonging in commercial" framing has been removed wherever it appeared.</w:t>
      </w:r>
    </w:p>
    <w:p w14:paraId="3A4B7CA2" w14:textId="77777777" w:rsidR="0095465D" w:rsidRDefault="00000000">
      <w:pPr>
        <w:spacing w:before="280" w:after="120"/>
      </w:pPr>
      <w:r>
        <w:rPr>
          <w:b/>
          <w:bCs/>
          <w:color w:val="0F1A2E"/>
          <w:sz w:val="24"/>
          <w:szCs w:val="24"/>
        </w:rPr>
        <w:t>Dynamic range</w:t>
      </w:r>
    </w:p>
    <w:p w14:paraId="7CF92B90" w14:textId="77777777" w:rsidR="0095465D" w:rsidRDefault="00000000">
      <w:pPr>
        <w:spacing w:after="160" w:line="320" w:lineRule="auto"/>
      </w:pPr>
      <w:r>
        <w:t>New named mode added to "How she operates" on the About page: Dynamic range from strategy to execution. Framed as the ability to move between board-level strategy and tactical execution, see forest and trees, and flex across leadership styles. Includes the third-party validation phrasing from your boss’s description.</w:t>
      </w:r>
    </w:p>
    <w:p w14:paraId="7E0935E9" w14:textId="77777777" w:rsidR="0095465D" w:rsidRDefault="00000000">
      <w:pPr>
        <w:spacing w:before="280" w:after="120"/>
      </w:pPr>
      <w:r>
        <w:rPr>
          <w:b/>
          <w:bCs/>
          <w:color w:val="0F1A2E"/>
          <w:sz w:val="24"/>
          <w:szCs w:val="24"/>
        </w:rPr>
        <w:t>Additional launches</w:t>
      </w:r>
    </w:p>
    <w:p w14:paraId="42661C90" w14:textId="77777777" w:rsidR="0095465D" w:rsidRDefault="00000000">
      <w:pPr>
        <w:spacing w:after="160" w:line="320" w:lineRule="auto"/>
      </w:pPr>
      <w:r>
        <w:t xml:space="preserve">Two structural additions on the Home page. A new section, "Launches that have defined categories," placed prominently between the through line and What She Has Built. Plavix (first DTC in pharma), Dupixent, Flonase, </w:t>
      </w:r>
      <w:proofErr w:type="spellStart"/>
      <w:r>
        <w:t>Sotatercept</w:t>
      </w:r>
      <w:proofErr w:type="spellEnd"/>
      <w:r>
        <w:t xml:space="preserve">, and the First Quality ingredient brand strategy are each named with one to two lines of context. Plavix and Dupixent are not given full case </w:t>
      </w:r>
      <w:r>
        <w:lastRenderedPageBreak/>
        <w:t>studies in v9 (you can elevate either if you want a fifth or sixth case). First Quality ingredient branding is positioned as the industry-first move it was.</w:t>
      </w:r>
    </w:p>
    <w:p w14:paraId="62628FF6" w14:textId="77777777" w:rsidR="0095465D" w:rsidRDefault="00000000">
      <w:pPr>
        <w:spacing w:before="280" w:after="120"/>
      </w:pPr>
      <w:r>
        <w:rPr>
          <w:b/>
          <w:bCs/>
          <w:color w:val="0F1A2E"/>
          <w:sz w:val="24"/>
          <w:szCs w:val="24"/>
        </w:rPr>
        <w:t>Featured perspectives</w:t>
      </w:r>
    </w:p>
    <w:p w14:paraId="7A39AD6D" w14:textId="77777777" w:rsidR="0095465D" w:rsidRDefault="00000000">
      <w:pPr>
        <w:spacing w:after="160" w:line="320" w:lineRule="auto"/>
      </w:pPr>
      <w:r>
        <w:t>Expanded from three to eight placeholder titles. SEO/GEO best practice is 8 to 12 evergreen pieces with proper anchor links, refreshed quarterly. Replace placeholders with your actual article titles, and consider keyword research to align titles with high-intent search and AI-citation queries (e.g., "pharma CXO", "persistence-based care design", "behavioral intelligence in pharma").</w:t>
      </w:r>
    </w:p>
    <w:p w14:paraId="11BF1F5E" w14:textId="77777777" w:rsidR="0095465D" w:rsidRDefault="00000000">
      <w:pPr>
        <w:spacing w:before="280" w:after="120"/>
      </w:pPr>
      <w:r>
        <w:rPr>
          <w:b/>
          <w:bCs/>
          <w:color w:val="0F1A2E"/>
          <w:sz w:val="24"/>
          <w:szCs w:val="24"/>
        </w:rPr>
        <w:t>Built and delivered for</w:t>
      </w:r>
    </w:p>
    <w:p w14:paraId="6C231ADC" w14:textId="77777777" w:rsidR="0095465D" w:rsidRDefault="00000000">
      <w:pPr>
        <w:spacing w:after="160" w:line="320" w:lineRule="auto"/>
      </w:pPr>
      <w:r>
        <w:t>Expanded to all 16 logos from the image. Grouped into Life Sciences and Pharma, Consumer and CPG, Cross-sector. The grouping helps AI crawlers categorize industry breadth and gives recruiters a faster read of relevance to their seat.</w:t>
      </w:r>
    </w:p>
    <w:p w14:paraId="19CA4F3A" w14:textId="77777777" w:rsidR="0095465D" w:rsidRDefault="00000000">
      <w:pPr>
        <w:spacing w:before="280" w:after="120"/>
      </w:pPr>
      <w:r>
        <w:rPr>
          <w:b/>
          <w:bCs/>
          <w:color w:val="0F1A2E"/>
          <w:sz w:val="24"/>
          <w:szCs w:val="24"/>
        </w:rPr>
        <w:t>Therapeutic areas</w:t>
      </w:r>
    </w:p>
    <w:p w14:paraId="014E2DBB" w14:textId="77777777" w:rsidR="0095465D" w:rsidRDefault="00000000">
      <w:pPr>
        <w:spacing w:after="160" w:line="320" w:lineRule="auto"/>
      </w:pPr>
      <w:r>
        <w:t>Expanded to the full 13-area list: Obesity, Diabetes, Cardiovascular disease, Neuroscience, Oncology, Biosimilars, Vaccines, Infectious disease, Respiratory, Gastroenterology, Medical devices, Dermatology, Mental health.</w:t>
      </w:r>
    </w:p>
    <w:p w14:paraId="2F3D0141" w14:textId="77777777" w:rsidR="0095465D" w:rsidRDefault="00000000">
      <w:pPr>
        <w:spacing w:before="280" w:after="120"/>
      </w:pPr>
      <w:r>
        <w:rPr>
          <w:b/>
          <w:bCs/>
          <w:color w:val="0F1A2E"/>
          <w:sz w:val="24"/>
          <w:szCs w:val="24"/>
        </w:rPr>
        <w:t>Co-creation case study</w:t>
      </w:r>
    </w:p>
    <w:p w14:paraId="5265D56F" w14:textId="77777777" w:rsidR="0095465D" w:rsidRDefault="00000000">
      <w:pPr>
        <w:spacing w:after="160" w:line="320" w:lineRule="auto"/>
      </w:pPr>
      <w:r>
        <w:t xml:space="preserve">The framing was corrected. Merck did have insights teams. What it didn’t have was an enterprise function dedicated to structured customer co-creation operating on agile cadence. The new wording reflects this distinction. Brand names that the work scaled to (G9, </w:t>
      </w:r>
      <w:proofErr w:type="spellStart"/>
      <w:r>
        <w:t>Gefapixant</w:t>
      </w:r>
      <w:proofErr w:type="spellEnd"/>
      <w:r>
        <w:t xml:space="preserve">, </w:t>
      </w:r>
      <w:proofErr w:type="spellStart"/>
      <w:r>
        <w:t>Zerbaxa</w:t>
      </w:r>
      <w:proofErr w:type="spellEnd"/>
      <w:r>
        <w:t xml:space="preserve">, VAQTA, </w:t>
      </w:r>
      <w:proofErr w:type="spellStart"/>
      <w:r>
        <w:t>Proquad</w:t>
      </w:r>
      <w:proofErr w:type="spellEnd"/>
      <w:r>
        <w:t>, Vax Storage) have been removed; the outcomes remain.</w:t>
      </w:r>
    </w:p>
    <w:p w14:paraId="27B9D8DB" w14:textId="77777777" w:rsidR="0095465D" w:rsidRDefault="00000000">
      <w:pPr>
        <w:spacing w:before="280" w:after="120"/>
      </w:pPr>
      <w:proofErr w:type="spellStart"/>
      <w:r>
        <w:rPr>
          <w:b/>
          <w:bCs/>
          <w:color w:val="0F1A2E"/>
          <w:sz w:val="24"/>
          <w:szCs w:val="24"/>
        </w:rPr>
        <w:t>Sotatercept</w:t>
      </w:r>
      <w:proofErr w:type="spellEnd"/>
      <w:r>
        <w:rPr>
          <w:b/>
          <w:bCs/>
          <w:color w:val="0F1A2E"/>
          <w:sz w:val="24"/>
          <w:szCs w:val="24"/>
        </w:rPr>
        <w:t xml:space="preserve"> and other cases</w:t>
      </w:r>
    </w:p>
    <w:p w14:paraId="1FC11D55" w14:textId="77777777" w:rsidR="0095465D" w:rsidRDefault="00000000">
      <w:pPr>
        <w:spacing w:after="160" w:line="320" w:lineRule="auto"/>
      </w:pPr>
      <w:r>
        <w:t>Changed "Silvi and her team" to "Silvi and team" throughout, per direction.</w:t>
      </w:r>
    </w:p>
    <w:p w14:paraId="4E8EFC34" w14:textId="77777777" w:rsidR="0095465D" w:rsidRDefault="00000000">
      <w:pPr>
        <w:spacing w:before="280" w:after="120"/>
      </w:pPr>
      <w:r>
        <w:rPr>
          <w:b/>
          <w:bCs/>
          <w:color w:val="0F1A2E"/>
          <w:sz w:val="24"/>
          <w:szCs w:val="24"/>
        </w:rPr>
        <w:t>Flonase format</w:t>
      </w:r>
    </w:p>
    <w:p w14:paraId="5E6E24D1" w14:textId="77777777" w:rsidR="0095465D" w:rsidRDefault="00000000">
      <w:pPr>
        <w:spacing w:after="160" w:line="320" w:lineRule="auto"/>
      </w:pPr>
      <w:r>
        <w:t>Rewritten. The new framing names the actual consumer barrier (resistance to the nasal spray delivery method for reasons of comfort and habit) rather than calling the format unfamiliar.</w:t>
      </w:r>
    </w:p>
    <w:p w14:paraId="42873C2B" w14:textId="77777777" w:rsidR="0095465D" w:rsidRDefault="00000000">
      <w:pPr>
        <w:spacing w:before="280" w:after="120"/>
      </w:pPr>
      <w:r>
        <w:rPr>
          <w:b/>
          <w:bCs/>
          <w:color w:val="0F1A2E"/>
          <w:sz w:val="24"/>
          <w:szCs w:val="24"/>
        </w:rPr>
        <w:t>SEO and GEO optimization</w:t>
      </w:r>
    </w:p>
    <w:p w14:paraId="591C1A15" w14:textId="77777777" w:rsidR="0095465D" w:rsidRDefault="00000000">
      <w:pPr>
        <w:spacing w:after="160" w:line="320" w:lineRule="auto"/>
      </w:pPr>
      <w:r>
        <w:t xml:space="preserve">Applied throughout. Front-loaded answer sentences (marked with a purple left-border in this document) at the top of each major section, designed for AI crawler citation. Semantic H1/H2/H3 hierarchy with clear topical anchors. Bold key phrases (Plavix, Dupixent, the situation, what Silvi and team built, the outcome). Bullet-style lists for therapeutic areas, industries, and </w:t>
      </w:r>
      <w:r>
        <w:lastRenderedPageBreak/>
        <w:t>logo groupings. E-E-A-T tone: third-party references (boss quote, McKinsey research), specific numbers (62.5%, $1B, $4B, 70%, six markets), and concrete artifacts (PAH Navigator, Center of Co-Creation, Digital Accelerator).</w:t>
      </w:r>
    </w:p>
    <w:sectPr w:rsidR="009546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E49F8"/>
    <w:multiLevelType w:val="hybridMultilevel"/>
    <w:tmpl w:val="DD28F386"/>
    <w:lvl w:ilvl="0" w:tplc="164E1370">
      <w:start w:val="1"/>
      <w:numFmt w:val="bullet"/>
      <w:lvlText w:val="•"/>
      <w:lvlJc w:val="left"/>
      <w:pPr>
        <w:ind w:left="720" w:hanging="360"/>
      </w:pPr>
    </w:lvl>
    <w:lvl w:ilvl="1" w:tplc="F8C0A1A6">
      <w:numFmt w:val="decimal"/>
      <w:lvlText w:val=""/>
      <w:lvlJc w:val="left"/>
    </w:lvl>
    <w:lvl w:ilvl="2" w:tplc="F7B21410">
      <w:numFmt w:val="decimal"/>
      <w:lvlText w:val=""/>
      <w:lvlJc w:val="left"/>
    </w:lvl>
    <w:lvl w:ilvl="3" w:tplc="211C7882">
      <w:numFmt w:val="decimal"/>
      <w:lvlText w:val=""/>
      <w:lvlJc w:val="left"/>
    </w:lvl>
    <w:lvl w:ilvl="4" w:tplc="82CE78B2">
      <w:numFmt w:val="decimal"/>
      <w:lvlText w:val=""/>
      <w:lvlJc w:val="left"/>
    </w:lvl>
    <w:lvl w:ilvl="5" w:tplc="DCA41C90">
      <w:numFmt w:val="decimal"/>
      <w:lvlText w:val=""/>
      <w:lvlJc w:val="left"/>
    </w:lvl>
    <w:lvl w:ilvl="6" w:tplc="1F02D4A0">
      <w:numFmt w:val="decimal"/>
      <w:lvlText w:val=""/>
      <w:lvlJc w:val="left"/>
    </w:lvl>
    <w:lvl w:ilvl="7" w:tplc="8192645C">
      <w:numFmt w:val="decimal"/>
      <w:lvlText w:val=""/>
      <w:lvlJc w:val="left"/>
    </w:lvl>
    <w:lvl w:ilvl="8" w:tplc="78B65D72">
      <w:numFmt w:val="decimal"/>
      <w:lvlText w:val=""/>
      <w:lvlJc w:val="left"/>
    </w:lvl>
  </w:abstractNum>
  <w:abstractNum w:abstractNumId="1" w15:restartNumberingAfterBreak="0">
    <w:nsid w:val="4D563363"/>
    <w:multiLevelType w:val="hybridMultilevel"/>
    <w:tmpl w:val="180CC504"/>
    <w:lvl w:ilvl="0" w:tplc="E1646D9E">
      <w:start w:val="1"/>
      <w:numFmt w:val="bullet"/>
      <w:lvlText w:val="●"/>
      <w:lvlJc w:val="left"/>
      <w:pPr>
        <w:ind w:left="720" w:hanging="360"/>
      </w:pPr>
    </w:lvl>
    <w:lvl w:ilvl="1" w:tplc="B6D48E14">
      <w:start w:val="1"/>
      <w:numFmt w:val="bullet"/>
      <w:lvlText w:val="○"/>
      <w:lvlJc w:val="left"/>
      <w:pPr>
        <w:ind w:left="1440" w:hanging="360"/>
      </w:pPr>
    </w:lvl>
    <w:lvl w:ilvl="2" w:tplc="01206A70">
      <w:start w:val="1"/>
      <w:numFmt w:val="bullet"/>
      <w:lvlText w:val="■"/>
      <w:lvlJc w:val="left"/>
      <w:pPr>
        <w:ind w:left="2160" w:hanging="360"/>
      </w:pPr>
    </w:lvl>
    <w:lvl w:ilvl="3" w:tplc="A91C0BB4">
      <w:start w:val="1"/>
      <w:numFmt w:val="bullet"/>
      <w:lvlText w:val="●"/>
      <w:lvlJc w:val="left"/>
      <w:pPr>
        <w:ind w:left="2880" w:hanging="360"/>
      </w:pPr>
    </w:lvl>
    <w:lvl w:ilvl="4" w:tplc="72E2D14A">
      <w:start w:val="1"/>
      <w:numFmt w:val="bullet"/>
      <w:lvlText w:val="○"/>
      <w:lvlJc w:val="left"/>
      <w:pPr>
        <w:ind w:left="3600" w:hanging="360"/>
      </w:pPr>
    </w:lvl>
    <w:lvl w:ilvl="5" w:tplc="9A509722">
      <w:start w:val="1"/>
      <w:numFmt w:val="bullet"/>
      <w:lvlText w:val="■"/>
      <w:lvlJc w:val="left"/>
      <w:pPr>
        <w:ind w:left="4320" w:hanging="360"/>
      </w:pPr>
    </w:lvl>
    <w:lvl w:ilvl="6" w:tplc="81D06946">
      <w:start w:val="1"/>
      <w:numFmt w:val="bullet"/>
      <w:lvlText w:val="●"/>
      <w:lvlJc w:val="left"/>
      <w:pPr>
        <w:ind w:left="5040" w:hanging="360"/>
      </w:pPr>
    </w:lvl>
    <w:lvl w:ilvl="7" w:tplc="26F4CFD4">
      <w:start w:val="1"/>
      <w:numFmt w:val="bullet"/>
      <w:lvlText w:val="●"/>
      <w:lvlJc w:val="left"/>
      <w:pPr>
        <w:ind w:left="5760" w:hanging="360"/>
      </w:pPr>
    </w:lvl>
    <w:lvl w:ilvl="8" w:tplc="70AE2C2A">
      <w:start w:val="1"/>
      <w:numFmt w:val="bullet"/>
      <w:lvlText w:val="●"/>
      <w:lvlJc w:val="left"/>
      <w:pPr>
        <w:ind w:left="6480" w:hanging="360"/>
      </w:pPr>
    </w:lvl>
  </w:abstractNum>
  <w:num w:numId="1" w16cid:durableId="1811633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65D"/>
    <w:rsid w:val="008C6840"/>
    <w:rsid w:val="0095465D"/>
    <w:rsid w:val="00A56191"/>
    <w:rsid w:val="00C80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6206"/>
  <w15:docId w15:val="{4CE676AD-AD9A-401C-BA9D-50F25C9CE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4399</Words>
  <Characters>25077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 Haldipur</cp:lastModifiedBy>
  <cp:revision>3</cp:revision>
  <dcterms:created xsi:type="dcterms:W3CDTF">2026-05-23T18:55:00Z</dcterms:created>
  <dcterms:modified xsi:type="dcterms:W3CDTF">2026-05-23T19:16:00Z</dcterms:modified>
</cp:coreProperties>
</file>