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AB1" w:rsidRPr="004F275E" w:rsidRDefault="005C0EC1" w:rsidP="00960C75">
      <w:pPr>
        <w:pStyle w:val="NoSpacing"/>
        <w:jc w:val="both"/>
      </w:pPr>
      <w:r w:rsidRPr="004F275E">
        <w:t>Integrants: Silvia González i Bo</w:t>
      </w:r>
      <w:bookmarkStart w:id="0" w:name="_GoBack"/>
      <w:bookmarkEnd w:id="0"/>
      <w:r w:rsidRPr="004F275E">
        <w:t>yan Naydenv</w:t>
      </w:r>
    </w:p>
    <w:p w:rsidR="00010B1F" w:rsidRPr="004F275E" w:rsidRDefault="00010B1F" w:rsidP="005C0EC1">
      <w:pPr>
        <w:pStyle w:val="Heading1"/>
        <w:numPr>
          <w:ilvl w:val="0"/>
          <w:numId w:val="2"/>
        </w:numPr>
        <w:rPr>
          <w:color w:val="auto"/>
          <w:sz w:val="28"/>
        </w:rPr>
      </w:pPr>
      <w:r w:rsidRPr="004F275E">
        <w:rPr>
          <w:color w:val="auto"/>
          <w:sz w:val="28"/>
        </w:rPr>
        <w:t xml:space="preserve">Antena </w:t>
      </w:r>
      <w:r w:rsidR="005C0EC1" w:rsidRPr="004F275E">
        <w:rPr>
          <w:color w:val="auto"/>
          <w:sz w:val="28"/>
        </w:rPr>
        <w:t>escollida</w:t>
      </w:r>
    </w:p>
    <w:p w:rsidR="005C0EC1" w:rsidRPr="004F275E" w:rsidRDefault="005C0EC1" w:rsidP="005C0EC1">
      <w:pPr>
        <w:jc w:val="both"/>
      </w:pPr>
      <w:r w:rsidRPr="004F275E">
        <w:t>Entre un monopol i un dipol, aquest grup ha escollit la segona opció doncs s’ha cregut més pràctic i amb més potencial. Això ha sigut degut principalment al fet que una antena dipol permet una posbile futura expansió cap a una antena Yagi per tal de fer-la més directiva. Per això, s’ha cregut més adequat.</w:t>
      </w:r>
    </w:p>
    <w:p w:rsidR="005C0EC1" w:rsidRPr="004F275E" w:rsidRDefault="005C0EC1" w:rsidP="005C0EC1">
      <w:pPr>
        <w:jc w:val="both"/>
      </w:pPr>
      <w:r w:rsidRPr="004F275E">
        <w:t>Per altra banda, una antena monopol tindrà una impedancia d’entrada de 36Ohms en el millor dels casos. Per tant la desadaptació amb un cable de 75hms serà força gran. Inclus amb un cable de 50 serà superior a la que tindria una antena dipol  amb 73Ohms d’impedancia amb un cable de 75Ohms.</w:t>
      </w:r>
    </w:p>
    <w:p w:rsidR="007A64BC" w:rsidRPr="004F275E" w:rsidRDefault="005C0EC1" w:rsidP="00235D42">
      <w:r w:rsidRPr="004F275E">
        <w:t>Així doncs, per una frecuencia central de treball de 122MHz:</w:t>
      </w:r>
    </w:p>
    <w:p w:rsidR="005C0EC1" w:rsidRPr="004F275E" w:rsidRDefault="004F275E" w:rsidP="00235D42">
      <w:pPr>
        <w:rPr>
          <w:rFonts w:eastAsiaTheme="minorEastAsia"/>
        </w:rPr>
      </w:pPr>
      <m:oMathPara>
        <m:oMath>
          <m:r>
            <w:rPr>
              <w:rFonts w:ascii="Cambria Math" w:hAnsi="Cambria Math"/>
            </w:rPr>
            <m:t>λ=2.459 m</m:t>
          </m:r>
        </m:oMath>
      </m:oMathPara>
    </w:p>
    <w:p w:rsidR="004F275E" w:rsidRPr="004F275E" w:rsidRDefault="004F275E" w:rsidP="00235D42">
      <w:pPr>
        <w:rPr>
          <w:rFonts w:eastAsiaTheme="minorEastAsia"/>
        </w:rPr>
      </w:pPr>
      <w:r w:rsidRPr="004F275E">
        <w:rPr>
          <w:rFonts w:eastAsiaTheme="minorEastAsia"/>
        </w:rPr>
        <w:t>Buscant que l’impedancia d’entrada no tingui part complexa es trova la longitud de l’antena:</w:t>
      </w:r>
      <w:r w:rsidRPr="004F275E">
        <w:rPr>
          <w:rFonts w:eastAsiaTheme="minorEastAsia"/>
          <w:noProof/>
          <w:lang w:val="es-ES" w:eastAsia="en-GB"/>
        </w:rPr>
        <w:t xml:space="preserve"> </w:t>
      </w:r>
    </w:p>
    <w:p w:rsidR="004F275E" w:rsidRPr="004F275E" w:rsidRDefault="004F275E" w:rsidP="00235D42">
      <w:pPr>
        <w:rPr>
          <w:rFonts w:eastAsiaTheme="minorEastAsia"/>
        </w:rPr>
      </w:pPr>
      <m:oMathPara>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2</m:t>
              </m:r>
            </m:den>
          </m:f>
          <m:r>
            <w:rPr>
              <w:rFonts w:ascii="Cambria Math" w:eastAsiaTheme="minorEastAsia" w:hAnsi="Cambria Math"/>
            </w:rPr>
            <m:t>-3%=1.156</m:t>
          </m:r>
          <m:r>
            <w:rPr>
              <w:rFonts w:ascii="Cambria Math" w:eastAsiaTheme="minorEastAsia" w:hAnsi="Cambria Math"/>
            </w:rPr>
            <m:t xml:space="preserve"> m</m:t>
          </m:r>
        </m:oMath>
      </m:oMathPara>
    </w:p>
    <w:p w:rsidR="004F275E" w:rsidRDefault="004F275E" w:rsidP="00235D42">
      <w:pPr>
        <w:rPr>
          <w:rFonts w:eastAsiaTheme="minorEastAsia"/>
        </w:rPr>
      </w:pPr>
      <w:r>
        <w:rPr>
          <w:rFonts w:eastAsiaTheme="minorEastAsia"/>
          <w:noProof/>
          <w:lang w:val="en-GB" w:eastAsia="en-GB"/>
        </w:rPr>
        <mc:AlternateContent>
          <mc:Choice Requires="wpg">
            <w:drawing>
              <wp:anchor distT="0" distB="0" distL="114300" distR="114300" simplePos="0" relativeHeight="251668480" behindDoc="0" locked="0" layoutInCell="1" allowOverlap="1">
                <wp:simplePos x="0" y="0"/>
                <wp:positionH relativeFrom="column">
                  <wp:posOffset>504749</wp:posOffset>
                </wp:positionH>
                <wp:positionV relativeFrom="paragraph">
                  <wp:posOffset>146075</wp:posOffset>
                </wp:positionV>
                <wp:extent cx="4910342" cy="1511576"/>
                <wp:effectExtent l="38100" t="0" r="0" b="31750"/>
                <wp:wrapNone/>
                <wp:docPr id="7" name="Group 7"/>
                <wp:cNvGraphicFramePr/>
                <a:graphic xmlns:a="http://schemas.openxmlformats.org/drawingml/2006/main">
                  <a:graphicData uri="http://schemas.microsoft.com/office/word/2010/wordprocessingGroup">
                    <wpg:wgp>
                      <wpg:cNvGrpSpPr/>
                      <wpg:grpSpPr>
                        <a:xfrm>
                          <a:off x="0" y="0"/>
                          <a:ext cx="4910342" cy="1511576"/>
                          <a:chOff x="0" y="7315"/>
                          <a:chExt cx="4910342" cy="1511576"/>
                        </a:xfrm>
                      </wpg:grpSpPr>
                      <wpg:grpSp>
                        <wpg:cNvPr id="5" name="Group 5"/>
                        <wpg:cNvGrpSpPr/>
                        <wpg:grpSpPr>
                          <a:xfrm>
                            <a:off x="0" y="548640"/>
                            <a:ext cx="4910342" cy="970251"/>
                            <a:chOff x="0" y="0"/>
                            <a:chExt cx="4910342" cy="970251"/>
                          </a:xfrm>
                        </wpg:grpSpPr>
                        <wps:wsp>
                          <wps:cNvPr id="1" name="Straight Connector 1"/>
                          <wps:cNvCnPr/>
                          <wps:spPr>
                            <a:xfrm>
                              <a:off x="0" y="0"/>
                              <a:ext cx="22288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a:off x="2681492" y="11220"/>
                              <a:ext cx="22288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a:off x="2227097" y="5610"/>
                              <a:ext cx="0" cy="96464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2687102" y="5610"/>
                              <a:ext cx="0" cy="96464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6" name="Straight Connector 6"/>
                        <wps:cNvCnPr/>
                        <wps:spPr>
                          <a:xfrm>
                            <a:off x="7315" y="241402"/>
                            <a:ext cx="4886554" cy="0"/>
                          </a:xfrm>
                          <a:prstGeom prst="line">
                            <a:avLst/>
                          </a:prstGeom>
                          <a:ln w="9525">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1981443" y="7315"/>
                            <a:ext cx="1025104" cy="277495"/>
                          </a:xfrm>
                          <a:prstGeom prst="rect">
                            <a:avLst/>
                          </a:prstGeom>
                          <a:noFill/>
                          <a:ln w="9525">
                            <a:noFill/>
                            <a:miter lim="800000"/>
                            <a:headEnd/>
                            <a:tailEnd/>
                          </a:ln>
                        </wps:spPr>
                        <wps:txbx>
                          <w:txbxContent>
                            <w:p w:rsidR="004F275E" w:rsidRDefault="004F275E">
                              <w:r>
                                <w:t>L = 1.156m</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oup 7" o:spid="_x0000_s1026" style="position:absolute;margin-left:39.75pt;margin-top:11.5pt;width:386.65pt;height:119pt;z-index:251668480;mso-height-relative:margin" coordorigin=",73" coordsize="49103,15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">
                <v:group id="Group 5" o:spid="_x0000_s1027" style="position:absolute;top:5486;width:49103;height:9702" coordsize="49103,9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line id="Straight Connector 1" o:spid="_x0000_s1028" style="position:absolute;visibility:visible;mso-wrap-style:square" from="0,0" to="22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" strokecolor="#4472c4 [3204]" strokeweight="2.25pt">
                    <v:stroke joinstyle="miter"/>
                  </v:line>
                  <v:line id="Straight Connector 2" o:spid="_x0000_s1029" style="position:absolute;visibility:visible;mso-wrap-style:square" from="26814,112" to="49103,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" strokecolor="#4472c4 [3204]" strokeweight="2.25pt">
                    <v:stroke joinstyle="miter"/>
                  </v:line>
                  <v:line id="Straight Connector 3" o:spid="_x0000_s1030" style="position:absolute;visibility:visible;mso-wrap-style:square" from="22270,56" to="22270,9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" strokecolor="#4472c4 [3204]" strokeweight="2.25pt">
                    <v:stroke joinstyle="miter"/>
                  </v:line>
                  <v:line id="Straight Connector 4" o:spid="_x0000_s1031" style="position:absolute;visibility:visible;mso-wrap-style:square" from="26871,56" to="26871,9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" strokecolor="#4472c4 [3204]" strokeweight="2.25pt">
                    <v:stroke joinstyle="miter"/>
                  </v:line>
                </v:group>
                <v:line id="Straight Connector 6" o:spid="_x0000_s1032" style="position:absolute;visibility:visible;mso-wrap-style:square" from="73,2414" to="48938,2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" strokecolor="#4472c4 [3204]">
                  <v:stroke startarrow="open" endarrow="open" joinstyle="miter"/>
                </v:line>
                <v:shapetype id="_x0000_t202" coordsize="21600,21600" o:spt="202" path="m,l,21600r21600,l21600,xe">
                  <v:stroke joinstyle="miter"/>
                  <v:path gradientshapeok="t" o:connecttype="rect"/>
                </v:shapetype>
                <v:shape id="Text Box 2" o:spid="_x0000_s1033" type="#_x0000_t202" style="position:absolute;left:19814;top:73;width:10251;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4F275E" w:rsidRDefault="004F275E">
                        <w:r>
                          <w:t>L = 1.156m</w:t>
                        </w:r>
                      </w:p>
                    </w:txbxContent>
                  </v:textbox>
                </v:shape>
              </v:group>
            </w:pict>
          </mc:Fallback>
        </mc:AlternateContent>
      </w:r>
      <w:r>
        <w:rPr>
          <w:rFonts w:eastAsiaTheme="minorEastAsia"/>
        </w:rPr>
        <w:t>Quedant l’antena finalment com:</w:t>
      </w:r>
    </w:p>
    <w:p w:rsidR="004F275E" w:rsidRDefault="004F275E" w:rsidP="00235D42">
      <w:pPr>
        <w:rPr>
          <w:rFonts w:eastAsiaTheme="minorEastAsia"/>
        </w:rPr>
      </w:pPr>
    </w:p>
    <w:p w:rsidR="004F275E" w:rsidRDefault="004F275E" w:rsidP="00235D42">
      <w:pPr>
        <w:rPr>
          <w:rFonts w:eastAsiaTheme="minorEastAsia"/>
        </w:rPr>
      </w:pPr>
    </w:p>
    <w:p w:rsidR="001B5C25" w:rsidRDefault="001B5C25" w:rsidP="00235D42">
      <w:pPr>
        <w:rPr>
          <w:rFonts w:eastAsiaTheme="minorEastAsia"/>
        </w:rPr>
      </w:pPr>
    </w:p>
    <w:p w:rsidR="001B5C25" w:rsidRDefault="001B5C25" w:rsidP="00235D42">
      <w:pPr>
        <w:rPr>
          <w:rFonts w:eastAsiaTheme="minorEastAsia"/>
        </w:rPr>
      </w:pPr>
    </w:p>
    <w:p w:rsidR="001B5C25" w:rsidRDefault="001B5C25" w:rsidP="00235D42">
      <w:pPr>
        <w:rPr>
          <w:rFonts w:eastAsiaTheme="minorEastAsia"/>
        </w:rPr>
      </w:pPr>
    </w:p>
    <w:p w:rsidR="001B5C25" w:rsidRPr="00113F85" w:rsidRDefault="00113F85" w:rsidP="00235D42">
      <w:pPr>
        <w:rPr>
          <w:rFonts w:eastAsiaTheme="minorEastAsia"/>
        </w:rPr>
      </w:pPr>
      <w:r>
        <w:rPr>
          <w:rFonts w:eastAsiaTheme="minorEastAsia"/>
        </w:rPr>
        <w:t>El diàmetre dels tubs es considera de 10mm com a valor típic d’antena.</w:t>
      </w:r>
    </w:p>
    <w:p w:rsidR="001B5C25" w:rsidRDefault="001B5C25" w:rsidP="001B5C25">
      <w:pPr>
        <w:pStyle w:val="Heading1"/>
        <w:numPr>
          <w:ilvl w:val="0"/>
          <w:numId w:val="2"/>
        </w:numPr>
        <w:rPr>
          <w:color w:val="auto"/>
          <w:sz w:val="28"/>
        </w:rPr>
      </w:pPr>
      <w:r>
        <w:rPr>
          <w:color w:val="auto"/>
          <w:sz w:val="28"/>
        </w:rPr>
        <w:t>Coeficient de Drag de l’antena</w:t>
      </w:r>
    </w:p>
    <w:p w:rsidR="00ED16FA" w:rsidRDefault="001B5C25" w:rsidP="001B5C25">
      <w:r>
        <w:t xml:space="preserve">S’ha </w:t>
      </w:r>
      <w:r w:rsidR="00113F85">
        <w:t>proposat calcular el drag per un avió comercial i per un d’aviació general.</w:t>
      </w:r>
    </w:p>
    <w:p w:rsidR="00ED16FA" w:rsidRDefault="00ED16FA" w:rsidP="001B5C25">
      <w:r>
        <w:t>Agafant experimentació de laboratori de General Electric (</w:t>
      </w:r>
      <w:hyperlink r:id="rId5" w:history="1">
        <w:r w:rsidRPr="00C00A55">
          <w:rPr>
            <w:rStyle w:val="Hyperlink"/>
          </w:rPr>
          <w:t>http://www.dtic.mil/get-tr-doc/pdf?AD=ADA395503</w:t>
        </w:r>
      </w:hyperlink>
      <w:r>
        <w:t>) es té aquesta taula:</w:t>
      </w:r>
    </w:p>
    <w:p w:rsidR="00ED16FA" w:rsidRDefault="00ED16FA" w:rsidP="00ED16FA">
      <w:pPr>
        <w:jc w:val="center"/>
      </w:pPr>
      <w:r w:rsidRPr="00ED16FA">
        <w:drawing>
          <wp:inline distT="0" distB="0" distL="0" distR="0" wp14:anchorId="52F13562" wp14:editId="7C95B15F">
            <wp:extent cx="2875600" cy="2258170"/>
            <wp:effectExtent l="0" t="0" r="127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5600" cy="2258170"/>
                    </a:xfrm>
                    <a:prstGeom prst="rect">
                      <a:avLst/>
                    </a:prstGeom>
                  </pic:spPr>
                </pic:pic>
              </a:graphicData>
            </a:graphic>
          </wp:inline>
        </w:drawing>
      </w:r>
    </w:p>
    <w:p w:rsidR="001B5C25" w:rsidRDefault="00ED16FA" w:rsidP="00136E3E">
      <w:pPr>
        <w:jc w:val="both"/>
      </w:pPr>
      <w:r>
        <w:lastRenderedPageBreak/>
        <w:t>Per la orientació del treball s’ha cregut convenient no aprofuditzar més en el càlcul i emprar auquesta cobra per prendre conclusions.</w:t>
      </w:r>
      <w:r w:rsidR="00136E3E">
        <w:t xml:space="preserve"> Es recorda primer que:</w:t>
      </w:r>
    </w:p>
    <w:p w:rsidR="00136E3E" w:rsidRDefault="00136E3E" w:rsidP="00136E3E">
      <m:oMath>
        <m:r>
          <w:rPr>
            <w:rFonts w:ascii="Cambria Math" w:hAnsi="Cambria Math"/>
          </w:rPr>
          <m:t>R</m:t>
        </m:r>
        <m:r>
          <w:rPr>
            <w:rFonts w:ascii="Cambria Math" w:hAnsi="Cambria Math"/>
          </w:rPr>
          <m:t>e=</m:t>
        </m:r>
        <m:f>
          <m:fPr>
            <m:ctrlPr>
              <w:rPr>
                <w:rFonts w:ascii="Cambria Math" w:hAnsi="Cambria Math"/>
                <w:i/>
              </w:rPr>
            </m:ctrlPr>
          </m:fPr>
          <m:num>
            <m:r>
              <w:rPr>
                <w:rFonts w:ascii="Cambria Math" w:hAnsi="Cambria Math"/>
              </w:rPr>
              <m:t>vl</m:t>
            </m:r>
          </m:num>
          <m:den>
            <m:r>
              <w:rPr>
                <w:rFonts w:ascii="Cambria Math" w:hAnsi="Cambria Math"/>
              </w:rPr>
              <m:t>ν</m:t>
            </m:r>
          </m:den>
        </m:f>
      </m:oMath>
      <w:r w:rsidRPr="00136E3E">
        <w:rPr>
          <w:rFonts w:eastAsiaTheme="minorEastAsia"/>
        </w:rPr>
        <w:t xml:space="preserve"> on </w:t>
      </w:r>
      <m:oMath>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aire</m:t>
            </m:r>
          </m:sub>
        </m:sSub>
        <m:r>
          <w:rPr>
            <w:rFonts w:ascii="Cambria Math" w:eastAsiaTheme="minorEastAsia" w:hAnsi="Cambria Math"/>
          </w:rPr>
          <m:t>=1.42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s</m:t>
            </m:r>
          </m:den>
        </m:f>
      </m:oMath>
      <w:r w:rsidRPr="00136E3E">
        <w:rPr>
          <w:rFonts w:eastAsiaTheme="minorEastAsia"/>
        </w:rPr>
        <w:t xml:space="preserve"> i </w:t>
      </w:r>
      <m:oMath>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cilindre</m:t>
            </m:r>
          </m:sub>
        </m:sSub>
        <m:r>
          <w:rPr>
            <w:rFonts w:ascii="Cambria Math" w:eastAsiaTheme="minorEastAsia" w:hAnsi="Cambria Math"/>
          </w:rPr>
          <m:t>=0.01m</m:t>
        </m:r>
      </m:oMath>
    </w:p>
    <w:p w:rsidR="00136E3E" w:rsidRDefault="00136E3E" w:rsidP="00136E3E">
      <w:pPr>
        <w:jc w:val="both"/>
      </w:pPr>
      <w:r>
        <w:t>Per tant:</w:t>
      </w:r>
    </w:p>
    <w:p w:rsidR="00113F85" w:rsidRDefault="00113F85" w:rsidP="00113F85">
      <w:pPr>
        <w:pStyle w:val="ListParagraph"/>
        <w:numPr>
          <w:ilvl w:val="0"/>
          <w:numId w:val="4"/>
        </w:numPr>
      </w:pPr>
      <w:r>
        <w:t>Avió general. Velocitat de vol 102.889 m/s.</w:t>
      </w:r>
    </w:p>
    <w:p w:rsidR="00136E3E" w:rsidRPr="00136E3E" w:rsidRDefault="00136E3E" w:rsidP="00136E3E">
      <w:pPr>
        <w:pStyle w:val="ListParagraph"/>
        <w:numPr>
          <w:ilvl w:val="1"/>
          <w:numId w:val="4"/>
        </w:numPr>
      </w:pPr>
      <m:oMath>
        <m:r>
          <w:rPr>
            <w:rFonts w:ascii="Cambria Math" w:hAnsi="Cambria Math"/>
          </w:rPr>
          <m:t>Re≅</m:t>
        </m:r>
        <m:r>
          <w:rPr>
            <w:rFonts w:ascii="Cambria Math" w:eastAsiaTheme="minorEastAsia" w:hAnsi="Cambria Math"/>
          </w:rPr>
          <m:t>70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m:t>
            </m:r>
          </m:sup>
        </m:sSup>
      </m:oMath>
      <w:r>
        <w:rPr>
          <w:rFonts w:eastAsiaTheme="minorEastAsia"/>
        </w:rPr>
        <w:t xml:space="preserve"> </w:t>
      </w:r>
    </w:p>
    <w:p w:rsidR="00136E3E" w:rsidRDefault="00136E3E" w:rsidP="00136E3E">
      <w:pPr>
        <w:pStyle w:val="ListParagraph"/>
        <w:numPr>
          <w:ilvl w:val="1"/>
          <w:numId w:val="4"/>
        </w:numPr>
      </w:pPr>
      <w:r>
        <w:t>En base a la corba, el Coeficient del Drag paràsit s’amproxima a 0.01 per aquest Reynolds.</w:t>
      </w:r>
    </w:p>
    <w:p w:rsidR="00113F85" w:rsidRDefault="00113F85" w:rsidP="00113F85">
      <w:pPr>
        <w:pStyle w:val="ListParagraph"/>
        <w:numPr>
          <w:ilvl w:val="0"/>
          <w:numId w:val="4"/>
        </w:numPr>
      </w:pPr>
      <w:r>
        <w:t>Avió comercial. M = 0.9 o Velocitat de vol</w:t>
      </w:r>
      <w:r w:rsidR="00136E3E">
        <w:t xml:space="preserve"> a nivell del mar de 306 m/s.</w:t>
      </w:r>
    </w:p>
    <w:p w:rsidR="00136E3E" w:rsidRPr="00136E3E" w:rsidRDefault="00136E3E" w:rsidP="00136E3E">
      <w:pPr>
        <w:pStyle w:val="ListParagraph"/>
        <w:numPr>
          <w:ilvl w:val="1"/>
          <w:numId w:val="4"/>
        </w:numPr>
        <w:rPr>
          <w:rFonts w:eastAsiaTheme="minorEastAsia"/>
        </w:rPr>
      </w:pPr>
      <m:oMath>
        <m:r>
          <w:rPr>
            <w:rFonts w:ascii="Cambria Math" w:hAnsi="Cambria Math"/>
          </w:rPr>
          <m:t>Re≅</m:t>
        </m:r>
        <m:r>
          <w:rPr>
            <w:rFonts w:ascii="Cambria Math" w:eastAsiaTheme="minorEastAsia" w:hAnsi="Cambria Math"/>
          </w:rPr>
          <m:t>21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m:t>
            </m:r>
          </m:sup>
        </m:sSup>
      </m:oMath>
    </w:p>
    <w:p w:rsidR="00136E3E" w:rsidRDefault="00136E3E" w:rsidP="00136E3E">
      <w:pPr>
        <w:pStyle w:val="ListParagraph"/>
        <w:numPr>
          <w:ilvl w:val="1"/>
          <w:numId w:val="4"/>
        </w:numPr>
      </w:pPr>
      <w:r>
        <w:t>En base a la corba, el Coeficient del Drag paràsit s’</w:t>
      </w:r>
      <w:r>
        <w:t>amproxima a 0</w:t>
      </w:r>
      <w:r>
        <w:t xml:space="preserve"> per aquest Reynolds.</w:t>
      </w:r>
    </w:p>
    <w:p w:rsidR="00136E3E" w:rsidRPr="00136E3E" w:rsidRDefault="00136E3E" w:rsidP="00136E3E">
      <w:pPr>
        <w:pStyle w:val="ListParagraph"/>
        <w:ind w:left="1440"/>
        <w:rPr>
          <w:rFonts w:eastAsiaTheme="minorEastAsia"/>
        </w:rPr>
      </w:pPr>
    </w:p>
    <w:p w:rsidR="001B5C25" w:rsidRPr="004F275E" w:rsidRDefault="001B5C25" w:rsidP="00235D42">
      <w:pPr>
        <w:rPr>
          <w:rFonts w:eastAsiaTheme="minorEastAsia"/>
        </w:rPr>
      </w:pPr>
    </w:p>
    <w:sectPr w:rsidR="001B5C25" w:rsidRPr="004F2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776C0"/>
    <w:multiLevelType w:val="hybridMultilevel"/>
    <w:tmpl w:val="E9864D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CD56EE"/>
    <w:multiLevelType w:val="hybridMultilevel"/>
    <w:tmpl w:val="06CAF658"/>
    <w:lvl w:ilvl="0" w:tplc="A6046DA0">
      <w:start w:val="1"/>
      <w:numFmt w:val="decimal"/>
      <w:lvlText w:val="%1."/>
      <w:lvlJc w:val="left"/>
      <w:pPr>
        <w:ind w:left="720" w:hanging="360"/>
      </w:pPr>
      <w:rPr>
        <w:rFonts w:hint="default"/>
        <w:sz w:val="3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F52E11"/>
    <w:multiLevelType w:val="hybridMultilevel"/>
    <w:tmpl w:val="06CAF658"/>
    <w:lvl w:ilvl="0" w:tplc="A6046DA0">
      <w:start w:val="1"/>
      <w:numFmt w:val="decimal"/>
      <w:lvlText w:val="%1."/>
      <w:lvlJc w:val="left"/>
      <w:pPr>
        <w:ind w:left="720" w:hanging="360"/>
      </w:pPr>
      <w:rPr>
        <w:rFonts w:hint="default"/>
        <w:sz w:val="3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9738FA"/>
    <w:multiLevelType w:val="hybridMultilevel"/>
    <w:tmpl w:val="67FE11D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D17"/>
    <w:rsid w:val="00010B1F"/>
    <w:rsid w:val="00017B1F"/>
    <w:rsid w:val="00113F85"/>
    <w:rsid w:val="00132576"/>
    <w:rsid w:val="00136E3E"/>
    <w:rsid w:val="001946BC"/>
    <w:rsid w:val="001A7312"/>
    <w:rsid w:val="001B5C25"/>
    <w:rsid w:val="001D4C24"/>
    <w:rsid w:val="00233466"/>
    <w:rsid w:val="00235D42"/>
    <w:rsid w:val="00280B08"/>
    <w:rsid w:val="002B7419"/>
    <w:rsid w:val="00371EBC"/>
    <w:rsid w:val="003737D8"/>
    <w:rsid w:val="003F1AB1"/>
    <w:rsid w:val="003F5467"/>
    <w:rsid w:val="0043436F"/>
    <w:rsid w:val="004C479D"/>
    <w:rsid w:val="004F275E"/>
    <w:rsid w:val="00505073"/>
    <w:rsid w:val="00541A30"/>
    <w:rsid w:val="00543C7F"/>
    <w:rsid w:val="005703AA"/>
    <w:rsid w:val="00585761"/>
    <w:rsid w:val="005C0EC1"/>
    <w:rsid w:val="005C3BD6"/>
    <w:rsid w:val="006257EC"/>
    <w:rsid w:val="00730AF6"/>
    <w:rsid w:val="0075711B"/>
    <w:rsid w:val="007A64BC"/>
    <w:rsid w:val="007E4197"/>
    <w:rsid w:val="008B4DB9"/>
    <w:rsid w:val="008D5D48"/>
    <w:rsid w:val="0092153F"/>
    <w:rsid w:val="00960C75"/>
    <w:rsid w:val="009A682B"/>
    <w:rsid w:val="00BD4200"/>
    <w:rsid w:val="00C350D8"/>
    <w:rsid w:val="00D977AF"/>
    <w:rsid w:val="00DB1D17"/>
    <w:rsid w:val="00ED16FA"/>
    <w:rsid w:val="00F738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31875"/>
  <w15:docId w15:val="{568B60C9-0356-441C-9273-6D7D78682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ca-ES"/>
    </w:rPr>
  </w:style>
  <w:style w:type="paragraph" w:styleId="Heading1">
    <w:name w:val="heading 1"/>
    <w:basedOn w:val="Normal"/>
    <w:next w:val="Normal"/>
    <w:link w:val="Heading1Char"/>
    <w:uiPriority w:val="9"/>
    <w:qFormat/>
    <w:rsid w:val="007A64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64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4BC"/>
    <w:rPr>
      <w:rFonts w:asciiTheme="majorHAnsi" w:eastAsiaTheme="majorEastAsia" w:hAnsiTheme="majorHAnsi" w:cstheme="majorBidi"/>
      <w:color w:val="2F5496" w:themeColor="accent1" w:themeShade="BF"/>
      <w:sz w:val="32"/>
      <w:szCs w:val="32"/>
      <w:lang w:val="ca-ES"/>
    </w:rPr>
  </w:style>
  <w:style w:type="character" w:customStyle="1" w:styleId="Heading2Char">
    <w:name w:val="Heading 2 Char"/>
    <w:basedOn w:val="DefaultParagraphFont"/>
    <w:link w:val="Heading2"/>
    <w:uiPriority w:val="9"/>
    <w:rsid w:val="007A64BC"/>
    <w:rPr>
      <w:rFonts w:asciiTheme="majorHAnsi" w:eastAsiaTheme="majorEastAsia" w:hAnsiTheme="majorHAnsi" w:cstheme="majorBidi"/>
      <w:color w:val="2F5496" w:themeColor="accent1" w:themeShade="BF"/>
      <w:sz w:val="26"/>
      <w:szCs w:val="26"/>
      <w:lang w:val="ca-ES"/>
    </w:rPr>
  </w:style>
  <w:style w:type="paragraph" w:styleId="BalloonText">
    <w:name w:val="Balloon Text"/>
    <w:basedOn w:val="Normal"/>
    <w:link w:val="BalloonTextChar"/>
    <w:uiPriority w:val="99"/>
    <w:semiHidden/>
    <w:unhideWhenUsed/>
    <w:rsid w:val="00505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073"/>
    <w:rPr>
      <w:rFonts w:ascii="Tahoma" w:hAnsi="Tahoma" w:cs="Tahoma"/>
      <w:sz w:val="16"/>
      <w:szCs w:val="16"/>
      <w:lang w:val="ca-ES"/>
    </w:rPr>
  </w:style>
  <w:style w:type="paragraph" w:styleId="NoSpacing">
    <w:name w:val="No Spacing"/>
    <w:uiPriority w:val="1"/>
    <w:qFormat/>
    <w:rsid w:val="003F1AB1"/>
    <w:pPr>
      <w:spacing w:after="0" w:line="240" w:lineRule="auto"/>
    </w:pPr>
    <w:rPr>
      <w:lang w:val="ca-ES"/>
    </w:rPr>
  </w:style>
  <w:style w:type="character" w:styleId="PlaceholderText">
    <w:name w:val="Placeholder Text"/>
    <w:basedOn w:val="DefaultParagraphFont"/>
    <w:uiPriority w:val="99"/>
    <w:semiHidden/>
    <w:rsid w:val="005C0EC1"/>
    <w:rPr>
      <w:color w:val="808080"/>
    </w:rPr>
  </w:style>
  <w:style w:type="paragraph" w:styleId="ListParagraph">
    <w:name w:val="List Paragraph"/>
    <w:basedOn w:val="Normal"/>
    <w:uiPriority w:val="34"/>
    <w:qFormat/>
    <w:rsid w:val="00113F85"/>
    <w:pPr>
      <w:ind w:left="720"/>
      <w:contextualSpacing/>
    </w:pPr>
  </w:style>
  <w:style w:type="character" w:styleId="Hyperlink">
    <w:name w:val="Hyperlink"/>
    <w:basedOn w:val="DefaultParagraphFont"/>
    <w:uiPriority w:val="99"/>
    <w:unhideWhenUsed/>
    <w:rsid w:val="00ED16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dtic.mil/get-tr-doc/pdf?AD=ADA39550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2</Pages>
  <Words>275</Words>
  <Characters>1570</Characters>
  <Application>Microsoft Office Word</Application>
  <DocSecurity>0</DocSecurity>
  <Lines>13</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2018-05-21T13:14:00Z</dcterms:created>
  <dcterms:modified xsi:type="dcterms:W3CDTF">2018-05-30T22:36:00Z</dcterms:modified>
</cp:coreProperties>
</file>