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  <w:jc w:val="center"/>
      </w:pPr>
      <w:r>
        <w:t>Plan de Pruebas de Software</w:t>
      </w:r>
    </w:p>
    <w:p>
      <w:pPr>
        <w:jc w:val="center"/>
      </w:pPr>
      <w:r>
        <w:rPr>
          <w:i/>
        </w:rPr>
        <w:t>AlLado | Versión vigente: 29/10/2026</w:t>
      </w:r>
    </w:p>
    <w:p>
      <w:r>
        <w:t>Documento de resumen. La matriz completa de casos, IDs, estados, automatización y evidencias se mantiene en Especificaciones/Testing.md y en la Planilla de Test Cases.</w:t>
      </w:r>
    </w:p>
    <w:p>
      <w:pPr>
        <w:pStyle w:val="Heading1"/>
      </w:pPr>
      <w:r>
        <w:t>1. Objetivo y alcance</w:t>
      </w:r>
    </w:p>
    <w:p>
      <w:r>
        <w:t>Verificar los flujos críticos de AlLado, la seguridad por rol y titularidad, la persistencia, los contratos HTTP y la experiencia web y móvil. La plataforma conecta trabajadores y empleadores locales mediante oportunidades, postulaciones, perfiles, notificaciones, valoraciones y comunidad.</w:t>
      </w:r>
    </w:p>
    <w:p>
      <w:r>
        <w:t>Componentes vigentes: backend Spring Boot 3.2.5 / Java 21 / PostgreSQL; frontend web Next.js 16 / React 19; aplicación móvil Expo SDK 57 / React Native; API verificada con Postman y flujos de navegador con Selenium 4.</w:t>
      </w:r>
    </w:p>
    <w:p>
      <w:r>
        <w:t>Fuera de alcance: pagos reales, entrega por redes celulares/SMS y pruebas de carga masiva. Los proveedores externos se verifican con sandbox o stub; la fidelidad del stub se registra como riesgo.</w:t>
      </w:r>
    </w:p>
    <w:p>
      <w:pPr>
        <w:pStyle w:val="Heading1"/>
      </w:pPr>
      <w:r>
        <w:t>2. Estrategia y resultados</w:t>
      </w:r>
    </w:p>
    <w:p>
      <w:r>
        <w:t>La pirámide prioriza pruebas unitarias y de integración rápida, mantiene una capa de API verificable y reserva E2E para flujos de navegador críticos. Estado del consolidado generado el 29/10/2026:</w:t>
      </w:r>
    </w:p>
    <w:tbl>
      <w:tblPr>
        <w:tblStyle w:val="Tablaconcuadrícula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Capa / suite</w:t>
            </w:r>
          </w:p>
        </w:tc>
        <w:tc>
          <w:tcPr>
            <w:tcW w:type="dxa" w:w="2946"/>
          </w:tcPr>
          <w:p>
            <w:r>
              <w:rPr>
                <w:b/>
              </w:rPr>
              <w:t>Casos</w:t>
            </w:r>
          </w:p>
        </w:tc>
        <w:tc>
          <w:tcPr>
            <w:tcW w:type="dxa" w:w="2946"/>
          </w:tcPr>
          <w:p>
            <w:r>
              <w:rPr>
                <w:b/>
              </w:rPr>
              <w:t>Resultado y límite</w:t>
            </w:r>
          </w:p>
        </w:tc>
      </w:tr>
      <w:tr>
        <w:tc>
          <w:tcPr>
            <w:tcW w:type="dxa" w:w="2946"/>
            <w:vAlign w:val="center"/>
          </w:tcPr>
          <w:p>
            <w:r>
              <w:t>Backend JUnit 5 / Mockito</w:t>
            </w:r>
          </w:p>
        </w:tc>
        <w:tc>
          <w:tcPr>
            <w:tcW w:type="dxa" w:w="2946"/>
            <w:vAlign w:val="center"/>
          </w:tcPr>
          <w:p>
            <w:r>
              <w:t>218</w:t>
            </w:r>
          </w:p>
        </w:tc>
        <w:tc>
          <w:tcPr>
            <w:tcW w:type="dxa" w:w="2946"/>
            <w:vAlign w:val="center"/>
          </w:tcPr>
          <w:p>
            <w:r>
              <w:t>218 PASS; contexto de arranque con H2. No sustituye integración de persistencia sobre PostgreSQL.</w:t>
            </w:r>
          </w:p>
        </w:tc>
      </w:tr>
      <w:tr>
        <w:tc>
          <w:tcPr>
            <w:tcW w:type="dxa" w:w="2946"/>
            <w:vAlign w:val="center"/>
          </w:tcPr>
          <w:p>
            <w:r>
              <w:t>Frontend web Vitest / RTL</w:t>
            </w:r>
          </w:p>
        </w:tc>
        <w:tc>
          <w:tcPr>
            <w:tcW w:type="dxa" w:w="2946"/>
            <w:vAlign w:val="center"/>
          </w:tcPr>
          <w:p>
            <w:r>
              <w:t>45</w:t>
            </w:r>
          </w:p>
        </w:tc>
        <w:tc>
          <w:tcPr>
            <w:tcW w:type="dxa" w:w="2946"/>
            <w:vAlign w:val="center"/>
          </w:tcPr>
          <w:p>
            <w:r>
              <w:t>45 PASS; npm test genera JUnit XML.</w:t>
            </w:r>
          </w:p>
        </w:tc>
      </w:tr>
      <w:tr>
        <w:tc>
          <w:tcPr>
            <w:tcW w:type="dxa" w:w="2946"/>
            <w:vAlign w:val="center"/>
          </w:tcPr>
          <w:p>
            <w:r>
              <w:t>Frontend móvil Jest / RNTL</w:t>
            </w:r>
          </w:p>
        </w:tc>
        <w:tc>
          <w:tcPr>
            <w:tcW w:type="dxa" w:w="2946"/>
            <w:vAlign w:val="center"/>
          </w:tcPr>
          <w:p>
            <w:r>
              <w:t>27</w:t>
            </w:r>
          </w:p>
        </w:tc>
        <w:tc>
          <w:tcPr>
            <w:tcW w:type="dxa" w:w="2946"/>
            <w:vAlign w:val="center"/>
          </w:tcPr>
          <w:p>
            <w:r>
              <w:t>27 PASS; la suite de sesión conserva warnings act. Typecheck/lint global bloqueados por error de sintaxis en app/empleador/cuenta/empresa.tsx.</w:t>
            </w:r>
          </w:p>
        </w:tc>
      </w:tr>
      <w:tr>
        <w:tc>
          <w:tcPr>
            <w:tcW w:type="dxa" w:w="2946"/>
            <w:vAlign w:val="center"/>
          </w:tcPr>
          <w:p>
            <w:r>
              <w:t>E2E web Selenium + axe</w:t>
            </w:r>
          </w:p>
        </w:tc>
        <w:tc>
          <w:tcPr>
            <w:tcW w:type="dxa" w:w="2946"/>
            <w:vAlign w:val="center"/>
          </w:tcPr>
          <w:p>
            <w:r>
              <w:t>30 ejecutados; 32 en código</w:t>
            </w:r>
          </w:p>
        </w:tc>
        <w:tc>
          <w:tcPr>
            <w:tcW w:type="dxa" w:w="2946"/>
            <w:vAlign w:val="center"/>
          </w:tcPr>
          <w:p>
            <w:r>
              <w:t>Último runtime disponible: 28 PASS y 2 SKIP. TC-NOTIF-003 y TC-ACC-001 compilan, pero no tienen evidencia de runtime.</w:t>
            </w:r>
          </w:p>
        </w:tc>
      </w:tr>
      <w:tr>
        <w:tc>
          <w:tcPr>
            <w:tcW w:type="dxa" w:w="2946"/>
            <w:vAlign w:val="center"/>
          </w:tcPr>
          <w:p>
            <w:r>
              <w:t>API y persistencia vía Postman</w:t>
            </w:r>
          </w:p>
        </w:tc>
        <w:tc>
          <w:tcPr>
            <w:tcW w:type="dxa" w:w="2946"/>
            <w:vAlign w:val="center"/>
          </w:tcPr>
          <w:p>
            <w:r>
              <w:t>31 casos</w:t>
            </w:r>
          </w:p>
        </w:tc>
        <w:tc>
          <w:tcPr>
            <w:tcW w:type="dxa" w:w="2946"/>
            <w:vAlign w:val="center"/>
          </w:tcPr>
          <w:p>
            <w:r>
              <w:t>29 PASS y 2 FAIL en el consolidado; resultados HTTP/capturas asociados a la planilla. La ejecución registrada fue manual; no se adjunta reporte Newman.</w:t>
            </w:r>
          </w:p>
        </w:tc>
      </w:tr>
    </w:tbl>
    <w:p/>
    <w:p>
      <w:r>
        <w:t>Total consolidado: 351 casos, 347 PASS, 2 FAIL, 0 ERROR y 2 SKIP. Aprobación: 347/349 (99,4 %) de los ejecutados. Los SKIP no se cuentan como aprobados.</w:t>
      </w:r>
    </w:p>
    <w:p>
      <w:pPr>
        <w:pStyle w:val="Heading1"/>
      </w:pPr>
      <w:r>
        <w:t>3. Oráculos y defectos abiertos</w:t>
      </w:r>
    </w:p>
    <w:p>
      <w:r>
        <w:t>Cada caso debe tener un único resultado esperado verificable. Los estados de la planilla reflejan la última corrida registrada; no se infieren del código.</w:t>
      </w:r>
    </w:p>
    <w:tbl>
      <w:tblPr>
        <w:tblStyle w:val="Tablaconcuadrícula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ID</w:t>
            </w:r>
          </w:p>
        </w:tc>
        <w:tc>
          <w:tcPr>
            <w:tcW w:type="dxa" w:w="2946"/>
          </w:tcPr>
          <w:p>
            <w:r>
              <w:rPr>
                <w:b/>
              </w:rPr>
              <w:t>Resultado observado</w:t>
            </w:r>
          </w:p>
        </w:tc>
        <w:tc>
          <w:tcPr>
            <w:tcW w:type="dxa" w:w="2946"/>
          </w:tcPr>
          <w:p>
            <w:r>
              <w:rPr>
                <w:b/>
              </w:rPr>
              <w:t>Estado</w:t>
            </w:r>
          </w:p>
        </w:tc>
      </w:tr>
      <w:tr>
        <w:tc>
          <w:tcPr>
            <w:tcW w:type="dxa" w:w="2946"/>
            <w:vAlign w:val="center"/>
          </w:tcPr>
          <w:p>
            <w:r>
              <w:t>TC-POS-004</w:t>
            </w:r>
          </w:p>
        </w:tc>
        <w:tc>
          <w:tcPr>
            <w:tcW w:type="dxa" w:w="2946"/>
            <w:vAlign w:val="center"/>
          </w:tcPr>
          <w:p>
            <w:r>
              <w:t>El backend acepta remuneración negativa; se esperaba HTTP 400.</w:t>
            </w:r>
          </w:p>
        </w:tc>
        <w:tc>
          <w:tcPr>
            <w:tcW w:type="dxa" w:w="2946"/>
            <w:vAlign w:val="center"/>
          </w:tcPr>
          <w:p>
            <w:r>
              <w:t>FAIL / defecto abierto</w:t>
            </w:r>
          </w:p>
        </w:tc>
      </w:tr>
      <w:tr>
        <w:tc>
          <w:tcPr>
            <w:tcW w:type="dxa" w:w="2946"/>
            <w:vAlign w:val="center"/>
          </w:tcPr>
          <w:p>
            <w:r>
              <w:t>TC-DB-002</w:t>
            </w:r>
          </w:p>
        </w:tc>
        <w:tc>
          <w:tcPr>
            <w:tcW w:type="dxa" w:w="2946"/>
            <w:vAlign w:val="center"/>
          </w:tcPr>
          <w:p>
            <w:r>
              <w:t>La ejecución no cumple el oráculo de integridad referencial definido en la planilla.</w:t>
            </w:r>
          </w:p>
        </w:tc>
        <w:tc>
          <w:tcPr>
            <w:tcW w:type="dxa" w:w="2946"/>
            <w:vAlign w:val="center"/>
          </w:tcPr>
          <w:p>
            <w:r>
              <w:t>FAIL / defecto abierto</w:t>
            </w:r>
          </w:p>
        </w:tc>
      </w:tr>
      <w:tr>
        <w:tc>
          <w:tcPr>
            <w:tcW w:type="dxa" w:w="2946"/>
            <w:vAlign w:val="center"/>
          </w:tcPr>
          <w:p>
            <w:r>
              <w:t>TC-SEC-002</w:t>
            </w:r>
          </w:p>
        </w:tc>
        <w:tc>
          <w:tcPr>
            <w:tcW w:type="dxa" w:w="2946"/>
            <w:vAlign w:val="center"/>
          </w:tcPr>
          <w:p>
            <w:r>
              <w:t>El foro no aísla publicaciones por barrio.</w:t>
            </w:r>
          </w:p>
        </w:tc>
        <w:tc>
          <w:tcPr>
            <w:tcW w:type="dxa" w:w="2946"/>
            <w:vAlign w:val="center"/>
          </w:tcPr>
          <w:p>
            <w:r>
              <w:t>SKIP en E2E / defecto abierto</w:t>
            </w:r>
          </w:p>
        </w:tc>
      </w:tr>
      <w:tr>
        <w:tc>
          <w:tcPr>
            <w:tcW w:type="dxa" w:w="2946"/>
            <w:vAlign w:val="center"/>
          </w:tcPr>
          <w:p>
            <w:r>
              <w:t>TC-NEG-004b</w:t>
            </w:r>
          </w:p>
        </w:tc>
        <w:tc>
          <w:tcPr>
            <w:tcW w:type="dxa" w:w="2946"/>
            <w:vAlign w:val="center"/>
          </w:tcPr>
          <w:p>
            <w:r>
              <w:t>El backend no rechaza remuneración cero.</w:t>
            </w:r>
          </w:p>
        </w:tc>
        <w:tc>
          <w:tcPr>
            <w:tcW w:type="dxa" w:w="2946"/>
            <w:vAlign w:val="center"/>
          </w:tcPr>
          <w:p>
            <w:r>
              <w:t>SKIP en E2E / defecto abierto</w:t>
            </w:r>
          </w:p>
        </w:tc>
      </w:tr>
    </w:tbl>
    <w:p/>
    <w:p>
      <w:r>
        <w:t>No cerrar el ciclo de aceptación mientras haya defectos bloqueantes abiertos o casos críticos sin evidencia. Enlazar cada defecto con su Issue y plan de retest.</w:t>
      </w:r>
    </w:p>
    <w:p>
      <w:pPr>
        <w:pStyle w:val="Heading1"/>
      </w:pPr>
      <w:r>
        <w:t>4. Automatización y trazabilidad</w:t>
      </w:r>
    </w:p>
    <w:p>
      <w:r>
        <w:t>La planilla contiene 351 casos con tipo, técnica, capa de pirámide, decisión de automatización justificada, herramienta/ruta del test, resultado y evidencia. Los IDs FEW/FEM/BE se enlazan a XML JUnit/Surefire; los TC de API/BD se verifican con Postman; los E2E se enlazan a clase y método Selenium.</w:t>
      </w:r>
    </w:p>
    <w:p>
      <w:r>
        <w:t>La colección Postman tiene un environment QA separado. No guardar tokens ni contraseñas en archivos versionados; cargar credenciales de prueba en el environment local. El informe Newman no está generado en este corte.</w:t>
      </w:r>
    </w:p>
    <w:p>
      <w:r>
        <w:t>La matriz por requisito y la lista completa de comandos se mantienen en Especificaciones/Testing.md. La planilla oficial es Testing/Planilla de Test Cases v2(2).xlsx.</w:t>
      </w:r>
    </w:p>
    <w:p>
      <w:pPr>
        <w:pStyle w:val="Heading1"/>
      </w:pPr>
      <w:r>
        <w:t>5. Accesibilidad</w:t>
      </w:r>
    </w:p>
    <w:p>
      <w:r>
        <w:t>axe-core Selenium 4.13.0 está integrado como TC-ACC-001 y analiza inicio, login y dashboard de trabajador bajo WCAG 2.2 AA. La clase compila y escribe target/accesibilidad/axe-report.md con regla, impacto, URL, selector y HTML. El runtime QA no estaba activo al generar este documento, así que los resultados axe y Lighthouse, el checklist manual y el cierre de AL-FE-009/010 siguen pendientes.</w:t>
      </w:r>
    </w:p>
    <w:p>
      <w:pPr>
        <w:pStyle w:val="Heading1"/>
      </w:pPr>
      <w:r>
        <w:t>6. Entorno y ejecución</w:t>
      </w:r>
    </w:p>
    <w:p>
      <w:r>
        <w:t>Backend y pruebas unitarias requieren JDK 21 y Maven. La suite backend usa H2 para el test de contexto; las verificaciones de persistencia y E2E usan PostgreSQL QA. Selenium requiere Chrome/Firefox y el frontend Next compilado con NEXT_PUBLIC_API_URL apuntando a la API QA.</w:t>
      </w:r>
    </w:p>
    <w:p>
      <w:r>
        <w:t>Comandos desde la raíz del repositorio:</w:t>
      </w:r>
    </w:p>
    <w:p>
      <w:r>
        <w:t>- JAVA_HOME=&lt;JDK-21&gt; mvn -f Backend/pom.xml test</w:t>
      </w:r>
    </w:p>
    <w:p>
      <w:r>
        <w:t>- cd Frontend/al_lado-app &amp;&amp; npm test</w:t>
      </w:r>
    </w:p>
    <w:p>
      <w:r>
        <w:t>- cd Frontend/al-lado-mobile &amp;&amp; npm test -- --runInBand</w:t>
      </w:r>
    </w:p>
    <w:p>
      <w:r>
        <w:t>- cd Testing/e2e &amp;&amp; mvn test</w:t>
      </w:r>
    </w:p>
    <w:p>
      <w:r>
        <w:t>- Importar Postman_Collection.json y Postman_Environment_QA.json; seleccionar AlLado QA PostgreSQL.</w:t>
      </w:r>
    </w:p>
    <w:p>
      <w:r>
        <w:t>La ejecución E2E completa requiere Backend, PostgreSQL QA y frontend activos. Volver a ejecutar TC-NOTIF-003 y TC-ACC-001 antes de entregar para adjuntar evidencias de runtime.</w:t>
      </w:r>
    </w:p>
    <w:p>
      <w:pPr>
        <w:pStyle w:val="Heading1"/>
      </w:pPr>
      <w:r>
        <w:t>7. Criterios de entrada y salida</w:t>
      </w:r>
    </w:p>
    <w:p>
      <w:r>
        <w:t>Entrada: compilación disponible por componente, esquema y seed QA aplicados, credenciales de prueba cargadas localmente, environment Postman configurado e IDs/datos por caso documentados.</w:t>
      </w:r>
    </w:p>
    <w:p>
      <w:r>
        <w:t>Salida: 100% de casos críticos ejecutados; al menos 95% de aprobación de los casos ejecutados; cero defectos bloqueantes abiertos; resultados y enlaces de evidencia presentes en la matriz; fallos con Issue y plan de retest.</w:t>
      </w:r>
    </w:p>
    <w:p>
      <w:r>
        <w:t>Suspender si el entorno cae o un defecto bloqueante impide más del 30% de casos pendientes. Reanudar después de validar el fix en QA y repetir los casos bloqueados.</w:t>
      </w:r>
    </w:p>
    <w:p>
      <w:pPr>
        <w:pStyle w:val="Heading1"/>
      </w:pPr>
      <w:r>
        <w:t>8. Documentos y artifacts</w:t>
      </w:r>
    </w:p>
    <w:p>
      <w:r>
        <w:t>Plan detallado y matriz: Especificaciones/Testing.md. Backlog: Especificaciones/Issues_Backlog.md. Planilla clasificada: Testing/Planilla de Test Cases v2(2).xlsx. Entregables consolidados: AlLado - Informe de Resultados de Pruebas.pdf, .xml y .xlsx en la carpeta plan_de_pruebas. Environment API: Postman_Environment_QA.json.</w:t>
      </w:r>
    </w:p>
    <w:p>
      <w:r>
        <w:t>Este DOCX sustituye la versión del 22/09/2026, que describía React/Vite, PostgreSQL 15, puertos y IDs de casos ya obsoletos. La integración axe se compiló pero no se ejecutó por falta del entorno QA activo.</w:t>
      </w:r>
    </w:p>
    <w:sectPr>
      <w:headerReference r:id="rId7" w:type="default"/>
      <w:footerReference r:id="rId8" w:type="default"/>
      <w:pgSz w:h="15840" w:w="12240" w:orient="portrait"/>
      <w:pgMar w:bottom="1418" w:top="1985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sz w:val="20"/>
        <w:szCs w:val="20"/>
        <w:rtl w:val="0"/>
      </w:rPr>
      <w:t xml:space="preserve">Proyecto de Software - Plan de pruebas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9">
    <w:pPr>
      <w:spacing w:after="0" w:line="240" w:lineRule="auto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b w:val="1"/>
        <w:bCs w:val="1"/>
        <w:sz w:val="48"/>
        <w:szCs w:val="48"/>
        <w:rtl w:val="0"/>
      </w:rPr>
      <w:t xml:space="preserve">Plan de Pruebas de Software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color w:val="365f91"/>
        <w:sz w:val="22"/>
        <w:szCs w:val="22"/>
        <w:rtl w:val="0"/>
      </w:rPr>
      <w:t xml:space="preserve">AlLado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-104773</wp:posOffset>
              </wp:positionH>
              <wp:positionV relativeFrom="paragraph">
                <wp:posOffset>166370</wp:posOffset>
              </wp:positionV>
              <wp:extent cx="5798820" cy="23876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484690" y="3698720"/>
                        <a:ext cx="5722620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-104773</wp:posOffset>
              </wp:positionH>
              <wp:positionV relativeFrom="paragraph">
                <wp:posOffset>166370</wp:posOffset>
              </wp:positionV>
              <wp:extent cx="5798820" cy="238760"/>
              <wp:effectExtent b="0" l="0" r="0" t="0"/>
              <wp:wrapNone/>
              <wp:docPr id="2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98820" cy="2387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14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ítulo1">
    <w:name w:val="Título 1"/>
    <w:basedOn w:val="Normal"/>
    <w:next w:val="Título1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  <w:lang w:bidi="ar-SA" w:eastAsia="und" w:val="und"/>
    </w:rPr>
  </w:style>
  <w:style w:type="paragraph" w:styleId="Título2">
    <w:name w:val="Título 2"/>
    <w:basedOn w:val="Normal"/>
    <w:next w:val="Título2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1"/>
    </w:pPr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  <w:lang w:bidi="ar-SA" w:eastAsia="und" w:val="und"/>
    </w:rPr>
  </w:style>
  <w:style w:type="paragraph" w:styleId="Título3">
    <w:name w:val="Título 3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2"/>
    </w:pPr>
    <w:rPr>
      <w:rFonts w:ascii="Cambria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und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s-VE" w:val="es-VE"/>
    </w:rPr>
  </w:style>
  <w:style w:type="character" w:styleId="apple-converted-space">
    <w:name w:val="apple-converted-space"/>
    <w:basedOn w:val="Fuentedepárrafopredeter.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extoennegrita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Hipervínculo">
    <w:name w:val="Hipervínculo"/>
    <w:next w:val="Hipervínculo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Texto comentario"/>
    <w:basedOn w:val="Normal"/>
    <w:next w:val="Textocomentario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und" w:val="en-US"/>
    </w:rPr>
  </w:style>
  <w:style w:type="character" w:styleId="TextocomentarioCar">
    <w:name w:val="Texto comentario Car"/>
    <w:next w:val="TextocomentarioCa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Título1Car">
    <w:name w:val="Título 1 Car"/>
    <w:next w:val="Título1Car"/>
    <w:autoRedefine w:val="0"/>
    <w:hidden w:val="0"/>
    <w:qFormat w:val="0"/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  <w:lang/>
    </w:rPr>
  </w:style>
  <w:style w:type="character" w:styleId="Título2Car">
    <w:name w:val="Título 2 Car"/>
    <w:next w:val="Título2Car"/>
    <w:autoRedefine w:val="0"/>
    <w:hidden w:val="0"/>
    <w:qFormat w:val="0"/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  <w:lang/>
    </w:rPr>
  </w:style>
  <w:style w:type="character" w:styleId="vote-count-post">
    <w:name w:val="vote-count-post"/>
    <w:basedOn w:val="Fuentedepárrafopredeter."/>
    <w:next w:val="vote-count-pos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lativetime">
    <w:name w:val="relativetime"/>
    <w:basedOn w:val="Fuentedepárrafopredeter."/>
    <w:next w:val="relativetim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putation-score">
    <w:name w:val="reputation-score"/>
    <w:basedOn w:val="Fuentedepárrafopredeter."/>
    <w:next w:val="reputation-sco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adgecount">
    <w:name w:val="badgecount"/>
    <w:basedOn w:val="Fuentedepárrafopredeter."/>
    <w:next w:val="badgecou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ol">
    <w:name w:val="cool"/>
    <w:basedOn w:val="Fuentedepárrafopredeter."/>
    <w:next w:val="coo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copy">
    <w:name w:val="comment-copy"/>
    <w:basedOn w:val="Fuentedepárrafopredeter."/>
    <w:next w:val="comment-copy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date">
    <w:name w:val="comment-date"/>
    <w:basedOn w:val="Fuentedepárrafopredeter."/>
    <w:next w:val="comment-dat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Énfasis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und" w:val="und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Título3Ca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_ad">
    <w:name w:val="il_ad"/>
    <w:basedOn w:val="Fuentedepárrafopredeter."/>
    <w:next w:val="il_ad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Encabezado">
    <w:name w:val="Encabezado"/>
    <w:basedOn w:val="Normal"/>
    <w:next w:val="Encabezado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und"/>
    </w:rPr>
  </w:style>
  <w:style w:type="character" w:styleId="EncabezadoCar">
    <w:name w:val="Encabezado Car"/>
    <w:next w:val="Encabezado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und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ítulodeTDC">
    <w:name w:val="Título de TDC"/>
    <w:basedOn w:val="Título1"/>
    <w:next w:val="Normal"/>
    <w:autoRedefine w:val="0"/>
    <w:hidden w:val="0"/>
    <w:qFormat w:val="1"/>
    <w:pPr>
      <w:keepNext w:val="1"/>
      <w:keepLines w:val="1"/>
      <w:suppressAutoHyphens w:val="1"/>
      <w:spacing w:after="0" w:afterAutospacing="0" w:before="480" w:beforeAutospacing="0" w:line="276" w:lineRule="auto"/>
      <w:ind w:leftChars="-1" w:rightChars="0" w:firstLineChars="-1"/>
      <w:textDirection w:val="btLr"/>
      <w:textAlignment w:val="top"/>
      <w:outlineLvl w:val="9"/>
    </w:pPr>
    <w:rPr>
      <w:rFonts w:ascii="Cambria" w:cs="Times New Roman" w:eastAsia="Times New Roman" w:hAnsi="Cambria"/>
      <w:b w:val="1"/>
      <w:bCs w:val="1"/>
      <w:color w:val="365f91"/>
      <w:w w:val="100"/>
      <w:kern w:val="0"/>
      <w:position w:val="-1"/>
      <w:sz w:val="28"/>
      <w:szCs w:val="28"/>
      <w:effect w:val="none"/>
      <w:vertAlign w:val="baseline"/>
      <w:cs w:val="0"/>
      <w:em w:val="none"/>
      <w:lang w:bidi="ar-SA" w:eastAsia="und" w:val="und"/>
    </w:rPr>
  </w:style>
  <w:style w:type="paragraph" w:styleId="TDC1">
    <w:name w:val="TDC 1"/>
    <w:basedOn w:val="Normal"/>
    <w:next w:val="Normal"/>
    <w:autoRedefine w:val="0"/>
    <w:hidden w:val="0"/>
    <w:qFormat w:val="1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DC2">
    <w:name w:val="TDC 2"/>
    <w:basedOn w:val="Normal"/>
    <w:next w:val="Normal"/>
    <w:autoRedefine w:val="0"/>
    <w:hidden w:val="0"/>
    <w:qFormat w:val="1"/>
    <w:pPr>
      <w:suppressAutoHyphens w:val="1"/>
      <w:spacing w:after="200" w:line="276" w:lineRule="auto"/>
      <w:ind w:left="22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DC3">
    <w:name w:val="TDC 3"/>
    <w:basedOn w:val="Normal"/>
    <w:next w:val="Normal"/>
    <w:autoRedefine w:val="0"/>
    <w:hidden w:val="0"/>
    <w:qFormat w:val="1"/>
    <w:pPr>
      <w:suppressAutoHyphens w:val="1"/>
      <w:spacing w:after="100" w:line="276" w:lineRule="auto"/>
      <w:ind w:left="440" w:leftChars="-1" w:rightChars="0" w:firstLineChars="-1"/>
      <w:textDirection w:val="btLr"/>
      <w:textAlignment w:val="top"/>
      <w:outlineLvl w:val="0"/>
    </w:pPr>
    <w:rPr>
      <w:rFonts w:ascii="Calibri" w:cs="Times New Roman" w:eastAsia="Times New Roman" w:hAnsi="Calibri"/>
      <w:w w:val="100"/>
      <w:position w:val="-1"/>
      <w:sz w:val="24"/>
      <w:szCs w:val="22"/>
      <w:effect w:val="none"/>
      <w:vertAlign w:val="baseline"/>
      <w:cs w:val="0"/>
      <w:em w:val="none"/>
      <w:lang w:bidi="ar-SA" w:eastAsia="es-VE" w:val="es-VE"/>
    </w:rPr>
  </w:style>
  <w:style w:type="paragraph" w:styleId="Sinespaciado">
    <w:name w:val="Sin espaciado"/>
    <w:next w:val="Sinespaciad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x0lK3y/CxBdYSypb7cizmKZi+Q==">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2012-10-28T15:38:00Z</dcterms:created>
  <dc:creator>admin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