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Times New Roman" w:hAnsi="Times New Roman"/>
          <w:b/>
          <w:sz w:val="32"/>
        </w:rPr>
        <w:t>INVENTARIO DE ACTIVOS</w:t>
      </w:r>
    </w:p>
    <w:p>
      <w:pPr>
        <w:spacing w:after="40" w:before="240"/>
        <w:jc w:val="center"/>
      </w:pPr>
      <w:r>
        <w:rPr>
          <w:rFonts w:ascii="Times New Roman" w:hAnsi="Times New Roman"/>
          <w:b/>
          <w:sz w:val="28"/>
        </w:rPr>
        <w:t>BOOGIE RENT C.A.</w:t>
      </w:r>
    </w:p>
    <w:p>
      <w:pPr>
        <w:spacing w:after="120" w:before="240"/>
        <w:jc w:val="center"/>
      </w:pPr>
      <w:r>
        <w:rPr>
          <w:rFonts w:ascii="Times New Roman" w:hAnsi="Times New Roman"/>
          <w:b/>
          <w:sz w:val="24"/>
        </w:rPr>
        <w:t>SOCIEDAD ANÓNIMA</w:t>
      </w:r>
    </w:p>
    <w:p>
      <w:pPr>
        <w:jc w:val="center"/>
      </w:pPr>
      <w:r>
        <w:rPr>
          <w:rFonts w:ascii="Times New Roman" w:hAnsi="Times New Roman"/>
          <w:sz w:val="24"/>
        </w:rPr>
        <w:t>_______________</w:t>
      </w:r>
    </w:p>
    <w:p>
      <w:pPr>
        <w:spacing w:after="240" w:before="240"/>
        <w:jc w:val="center"/>
      </w:pPr>
      <w:r>
        <w:rPr>
          <w:rFonts w:ascii="Times New Roman" w:hAnsi="Times New Roman"/>
          <w:b/>
          <w:sz w:val="24"/>
        </w:rPr>
        <w:t>Constituyentes del Aporte de Capital</w:t>
      </w:r>
    </w:p>
    <w:p>
      <w:pPr>
        <w:spacing w:after="240" w:before="0"/>
        <w:jc w:val="both"/>
      </w:pPr>
      <w:r>
        <w:rPr>
          <w:rFonts w:ascii="Times New Roman" w:hAnsi="Times New Roman"/>
          <w:b w:val="0"/>
          <w:sz w:val="24"/>
        </w:rPr>
        <w:t>En la ciudad de Caracas, Distrito Capital, de la República Bolivariana de Venezuela, a los trece (13) días del mes de abril del año dos mil veintiséis (2026), los ciudadanos:</w:t>
      </w:r>
    </w:p>
    <w:p>
      <w:pPr>
        <w:spacing w:after="120" w:before="0"/>
        <w:jc w:val="both"/>
      </w:pPr>
      <w:r>
        <w:rPr>
          <w:rFonts w:ascii="Times New Roman" w:hAnsi="Times New Roman"/>
          <w:b w:val="0"/>
          <w:sz w:val="24"/>
        </w:rPr>
        <w:t>PRIMERO: Sebastián Chacón Peña, venezolano, mayor de edad, de este domicilio, programador, titular de la cédula de identidad Nro. V-27.333.855, soltero, domiciliado en Caracas, Distrito Capital, Municipio Libertador, Avenida Panteón, Edf. Roda, Apto. 12-A.</w:t>
      </w:r>
    </w:p>
    <w:p>
      <w:pPr>
        <w:spacing w:after="240" w:before="0"/>
        <w:jc w:val="both"/>
      </w:pPr>
      <w:r>
        <w:rPr>
          <w:rFonts w:ascii="Times New Roman" w:hAnsi="Times New Roman"/>
          <w:b w:val="0"/>
          <w:sz w:val="24"/>
        </w:rPr>
        <w:t>SEGUNDO: Nuryvel Antonieta Peña Gonzalez, venezolana, mayor de edad, de este domicilio, abogada, titular de la cédula de identidad Nro. V-10.505.412, casada bajo el régimen de la sociedad conyugal vigente, domiciliada en Caracas, Distrito Capital, Municipio Libertador, Avenida Panteón, Edf. Roda, Apto. 12-A.</w:t>
      </w:r>
    </w:p>
    <w:p>
      <w:pPr>
        <w:spacing w:after="240" w:before="0"/>
        <w:jc w:val="both"/>
      </w:pPr>
      <w:r>
        <w:rPr>
          <w:rFonts w:ascii="Times New Roman" w:hAnsi="Times New Roman"/>
          <w:b w:val="0"/>
          <w:sz w:val="24"/>
        </w:rPr>
        <w:t>En su carácter de fundadores de la sociedad BOOGIE RENT C.A., constituida mediante Acta Constitutiva y Estatutos Sociales otorgada ante el Registrador Público de esta jurisdicción, y a los fines previstos en los artículos 200, 213 y 329 del Código de Comercio de Venezuela, declaran que los activos que se detallan a continuación constituyen el aporte de capital de la Sociedad al momento de su constitución. El presente inventario tiene carácter vinculante y forma parte integral de los Estatutos Sociales de la Sociedad.</w:t>
      </w:r>
    </w:p>
    <w:p>
      <w:pPr>
        <w:spacing w:after="240" w:before="0"/>
        <w:jc w:val="both"/>
      </w:pPr>
      <w:r>
        <w:rPr>
          <w:rFonts w:ascii="Times New Roman" w:hAnsi="Times New Roman"/>
          <w:b w:val="0"/>
          <w:sz w:val="24"/>
        </w:rPr>
        <w:t>Los activos quedan organizados en las siguientes categorías:</w:t>
      </w:r>
    </w:p>
    <w:p>
      <w:pPr>
        <w:spacing w:after="80" w:before="240"/>
        <w:jc w:val="left"/>
      </w:pPr>
      <w:r>
        <w:rPr>
          <w:rFonts w:ascii="Times New Roman" w:hAnsi="Times New Roman"/>
          <w:b/>
          <w:sz w:val="24"/>
        </w:rPr>
        <w:t>CATEGORÍA 1: OFICINA Y MOBILIARIO</w:t>
      </w:r>
    </w:p>
    <w:p>
      <w:pPr>
        <w:spacing w:after="160" w:before="0"/>
        <w:jc w:val="both"/>
      </w:pPr>
      <w:r>
        <w:rPr>
          <w:rFonts w:ascii="Times New Roman" w:hAnsi="Times New Roman"/>
          <w:b w:val="0"/>
          <w:sz w:val="24"/>
        </w:rPr>
        <w:t>Bienes inmuebles por destino y mobiliario destinado al funcionamiento operativo y administrativo de la sede principal de la Sociedad.</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pPr>
              <w:jc w:val="center"/>
            </w:pPr>
            <w:r>
              <w:rPr>
                <w:color w:val="000000"/>
              </w:rPr>
            </w:r>
            <w:r>
              <w:rPr>
                <w:rFonts w:ascii="Times New Roman" w:hAnsi="Times New Roman"/>
                <w:b/>
                <w:sz w:val="18"/>
              </w:rPr>
              <w:t>N°</w:t>
            </w:r>
          </w:p>
        </w:tc>
        <w:tc>
          <w:tcPr>
            <w:tcW w:type="dxa" w:w="2275"/>
            <w:shd w:fill="D9E2F3" w:val="clear"/>
          </w:tcPr>
          <w:p>
            <w:pPr>
              <w:jc w:val="left"/>
            </w:pPr>
            <w:r>
              <w:rPr>
                <w:color w:val="000000"/>
              </w:rPr>
            </w:r>
            <w:r>
              <w:rPr>
                <w:rFonts w:ascii="Times New Roman" w:hAnsi="Times New Roman"/>
                <w:b/>
                <w:sz w:val="18"/>
              </w:rPr>
              <w:t>DESCRIPCIÓN DEL BIEN</w:t>
            </w:r>
          </w:p>
        </w:tc>
        <w:tc>
          <w:tcPr>
            <w:tcW w:type="dxa" w:w="2275"/>
            <w:shd w:fill="D9E2F3" w:val="clear"/>
          </w:tcPr>
          <w:p>
            <w:pPr>
              <w:jc w:val="left"/>
            </w:pPr>
            <w:r>
              <w:rPr>
                <w:color w:val="000000"/>
              </w:rPr>
            </w:r>
            <w:r>
              <w:rPr>
                <w:rFonts w:ascii="Times New Roman" w:hAnsi="Times New Roman"/>
                <w:b/>
                <w:sz w:val="18"/>
              </w:rPr>
              <w:t>CANT.</w:t>
            </w:r>
          </w:p>
        </w:tc>
        <w:tc>
          <w:tcPr>
            <w:tcW w:type="dxa" w:w="2275"/>
            <w:shd w:fill="D9E2F3" w:val="clear"/>
          </w:tcPr>
          <w:p>
            <w:pPr>
              <w:jc w:val="left"/>
            </w:pPr>
            <w:r>
              <w:rPr>
                <w:color w:val="000000"/>
              </w:rPr>
            </w:r>
            <w:r>
              <w:rPr>
                <w:rFonts w:ascii="Times New Roman" w:hAnsi="Times New Roman"/>
                <w:b/>
                <w:sz w:val="18"/>
              </w:rPr>
              <w:t>OBSERVACIONES</w:t>
            </w:r>
          </w:p>
        </w:tc>
      </w:tr>
      <w:tr>
        <w:tc>
          <w:tcPr>
            <w:tcW w:type="dxa" w:w="2275"/>
          </w:tcPr>
          <w:p>
            <w:pPr>
              <w:jc w:val="center"/>
            </w:pPr>
            <w:r/>
            <w:r>
              <w:rPr>
                <w:rFonts w:ascii="Times New Roman" w:hAnsi="Times New Roman"/>
                <w:sz w:val="18"/>
              </w:rPr>
              <w:t>1</w:t>
            </w:r>
          </w:p>
        </w:tc>
        <w:tc>
          <w:tcPr>
            <w:tcW w:type="dxa" w:w="2275"/>
          </w:tcPr>
          <w:p>
            <w:pPr>
              <w:jc w:val="left"/>
            </w:pPr>
            <w:r/>
            <w:r>
              <w:rPr>
                <w:rFonts w:ascii="Times New Roman" w:hAnsi="Times New Roman"/>
                <w:sz w:val="18"/>
              </w:rPr>
              <w:t>Oficina principal. 70 m²</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Oficina principal de operaciones de la empresa, ubicada en la Avenida Anauco, Edf. Golden Village, Apto. 6D, Caracas, Distrito Capital, amoblada y equipada.</w:t>
            </w:r>
          </w:p>
        </w:tc>
      </w:tr>
      <w:tr>
        <w:tc>
          <w:tcPr>
            <w:tcW w:type="dxa" w:w="2275"/>
          </w:tcPr>
          <w:p>
            <w:pPr>
              <w:jc w:val="center"/>
            </w:pPr>
            <w:r/>
            <w:r>
              <w:rPr>
                <w:rFonts w:ascii="Times New Roman" w:hAnsi="Times New Roman"/>
                <w:sz w:val="18"/>
              </w:rPr>
              <w:t>2</w:t>
            </w:r>
          </w:p>
        </w:tc>
        <w:tc>
          <w:tcPr>
            <w:tcW w:type="dxa" w:w="2275"/>
          </w:tcPr>
          <w:p>
            <w:pPr>
              <w:jc w:val="left"/>
            </w:pPr>
            <w:r/>
            <w:r>
              <w:rPr>
                <w:rFonts w:ascii="Times New Roman" w:hAnsi="Times New Roman"/>
                <w:sz w:val="18"/>
              </w:rPr>
              <w:t>Escritorios ejecutivos de trabajo. 120 x 60 cm c/u</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Escritorios de trabajo en MDM/MDF con estructura metálica, cajoneras, para estaciones de trabajo de programación y administración.</w:t>
            </w:r>
          </w:p>
        </w:tc>
      </w:tr>
      <w:tr>
        <w:tc>
          <w:tcPr>
            <w:tcW w:type="dxa" w:w="2275"/>
          </w:tcPr>
          <w:p>
            <w:pPr>
              <w:jc w:val="center"/>
            </w:pPr>
            <w:r/>
            <w:r>
              <w:rPr>
                <w:rFonts w:ascii="Times New Roman" w:hAnsi="Times New Roman"/>
                <w:sz w:val="18"/>
              </w:rPr>
              <w:t>3</w:t>
            </w:r>
          </w:p>
        </w:tc>
        <w:tc>
          <w:tcPr>
            <w:tcW w:type="dxa" w:w="2275"/>
          </w:tcPr>
          <w:p>
            <w:pPr>
              <w:jc w:val="left"/>
            </w:pPr>
            <w:r/>
            <w:r>
              <w:rPr>
                <w:rFonts w:ascii="Times New Roman" w:hAnsi="Times New Roman"/>
                <w:sz w:val="18"/>
              </w:rPr>
              <w:t>Sillas ergonómicas de oficina</w:t>
            </w:r>
          </w:p>
        </w:tc>
        <w:tc>
          <w:tcPr>
            <w:tcW w:type="dxa" w:w="2275"/>
          </w:tcPr>
          <w:p>
            <w:pPr>
              <w:jc w:val="left"/>
            </w:pPr>
            <w:r/>
            <w:r>
              <w:rPr>
                <w:rFonts w:ascii="Times New Roman" w:hAnsi="Times New Roman"/>
                <w:sz w:val="18"/>
              </w:rPr>
              <w:t>5</w:t>
            </w:r>
          </w:p>
        </w:tc>
        <w:tc>
          <w:tcPr>
            <w:tcW w:type="dxa" w:w="2275"/>
          </w:tcPr>
          <w:p>
            <w:pPr>
              <w:jc w:val="left"/>
            </w:pPr>
            <w:r/>
            <w:r>
              <w:rPr>
                <w:rFonts w:ascii="Times New Roman" w:hAnsi="Times New Roman"/>
                <w:sz w:val="18"/>
              </w:rPr>
              <w:t>Sillas giratorias ergonómicas con soporte lumbar, reposabrazos ajustables y base de cinco ruedas.</w:t>
            </w:r>
          </w:p>
        </w:tc>
      </w:tr>
      <w:tr>
        <w:tc>
          <w:tcPr>
            <w:tcW w:type="dxa" w:w="2275"/>
          </w:tcPr>
          <w:p>
            <w:pPr>
              <w:jc w:val="center"/>
            </w:pPr>
            <w:r/>
            <w:r>
              <w:rPr>
                <w:rFonts w:ascii="Times New Roman" w:hAnsi="Times New Roman"/>
                <w:sz w:val="18"/>
              </w:rPr>
              <w:t>4</w:t>
            </w:r>
          </w:p>
        </w:tc>
        <w:tc>
          <w:tcPr>
            <w:tcW w:type="dxa" w:w="2275"/>
          </w:tcPr>
          <w:p>
            <w:pPr>
              <w:jc w:val="left"/>
            </w:pPr>
            <w:r/>
            <w:r>
              <w:rPr>
                <w:rFonts w:ascii="Times New Roman" w:hAnsi="Times New Roman"/>
                <w:sz w:val="18"/>
              </w:rPr>
              <w:t>Mesa de juntas/conferencias. 180 x 90 cm</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Mesa rectangular de reuniones con capacidad para 6 personas, superficie laminada.</w:t>
            </w:r>
          </w:p>
        </w:tc>
      </w:tr>
      <w:tr>
        <w:tc>
          <w:tcPr>
            <w:tcW w:type="dxa" w:w="2275"/>
          </w:tcPr>
          <w:p>
            <w:pPr>
              <w:jc w:val="center"/>
            </w:pPr>
            <w:r/>
            <w:r>
              <w:rPr>
                <w:rFonts w:ascii="Times New Roman" w:hAnsi="Times New Roman"/>
                <w:sz w:val="18"/>
              </w:rPr>
              <w:t>5</w:t>
            </w:r>
          </w:p>
        </w:tc>
        <w:tc>
          <w:tcPr>
            <w:tcW w:type="dxa" w:w="2275"/>
          </w:tcPr>
          <w:p>
            <w:pPr>
              <w:jc w:val="left"/>
            </w:pPr>
            <w:r/>
            <w:r>
              <w:rPr>
                <w:rFonts w:ascii="Times New Roman" w:hAnsi="Times New Roman"/>
                <w:sz w:val="18"/>
              </w:rPr>
              <w:t>Estantería modular de almacenamiento</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Estantes modulares de 5 niveles cada uno, para almacenamiento de documentación, equipos y suministros de oficina.</w:t>
            </w:r>
          </w:p>
        </w:tc>
      </w:tr>
      <w:tr>
        <w:tc>
          <w:tcPr>
            <w:tcW w:type="dxa" w:w="2275"/>
          </w:tcPr>
          <w:p>
            <w:pPr>
              <w:jc w:val="center"/>
            </w:pPr>
            <w:r/>
            <w:r>
              <w:rPr>
                <w:rFonts w:ascii="Times New Roman" w:hAnsi="Times New Roman"/>
                <w:sz w:val="18"/>
              </w:rPr>
              <w:t>6</w:t>
            </w:r>
          </w:p>
        </w:tc>
        <w:tc>
          <w:tcPr>
            <w:tcW w:type="dxa" w:w="2275"/>
          </w:tcPr>
          <w:p>
            <w:pPr>
              <w:jc w:val="left"/>
            </w:pPr>
            <w:r/>
            <w:r>
              <w:rPr>
                <w:rFonts w:ascii="Times New Roman" w:hAnsi="Times New Roman"/>
                <w:sz w:val="18"/>
              </w:rPr>
              <w:t>Archivador metálico de seguridad. 4 gavetas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Archivador vertical metálico con cerradura de seguridad, para custodia de documentos legales, financieros y contratos.</w:t>
            </w:r>
          </w:p>
        </w:tc>
      </w:tr>
      <w:tr>
        <w:tc>
          <w:tcPr>
            <w:tcW w:type="dxa" w:w="2275"/>
          </w:tcPr>
          <w:p>
            <w:pPr>
              <w:jc w:val="center"/>
            </w:pPr>
            <w:r/>
            <w:r>
              <w:rPr>
                <w:rFonts w:ascii="Times New Roman" w:hAnsi="Times New Roman"/>
                <w:sz w:val="18"/>
              </w:rPr>
              <w:t>7</w:t>
            </w:r>
          </w:p>
        </w:tc>
        <w:tc>
          <w:tcPr>
            <w:tcW w:type="dxa" w:w="2275"/>
          </w:tcPr>
          <w:p>
            <w:pPr>
              <w:jc w:val="left"/>
            </w:pPr>
            <w:r/>
            <w:r>
              <w:rPr>
                <w:rFonts w:ascii="Times New Roman" w:hAnsi="Times New Roman"/>
                <w:sz w:val="18"/>
              </w:rPr>
              <w:t>Cortinas blackout para oficina. Según ventana</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Cortinas opacas reguladoras de luz para ventanas de la oficina, necesarias para producciones audiovisuales.</w:t>
            </w:r>
          </w:p>
        </w:tc>
      </w:tr>
    </w:tbl>
    <w:p/>
    <w:p>
      <w:pPr>
        <w:spacing w:after="80" w:before="240"/>
        <w:jc w:val="left"/>
      </w:pPr>
      <w:r>
        <w:rPr>
          <w:rFonts w:ascii="Times New Roman" w:hAnsi="Times New Roman"/>
          <w:b/>
          <w:sz w:val="24"/>
        </w:rPr>
        <w:t>CATEGORÍA 2: EQUIPOS DE CÓMPUTO Y TELECOMUNICACIONES</w:t>
      </w:r>
    </w:p>
    <w:p>
      <w:pPr>
        <w:spacing w:after="160" w:before="0"/>
        <w:jc w:val="both"/>
      </w:pPr>
      <w:r>
        <w:rPr>
          <w:rFonts w:ascii="Times New Roman" w:hAnsi="Times New Roman"/>
          <w:b w:val="0"/>
          <w:sz w:val="24"/>
        </w:rPr>
        <w:t>Equipos de cómputo, telecomunicaciones, climatización e infraestructura tecnológica necesarios para el desarrollo de software, operaciones de plataforma y comunicaciones institucionales.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pPr>
              <w:jc w:val="center"/>
            </w:pPr>
            <w:r>
              <w:rPr>
                <w:color w:val="000000"/>
              </w:rPr>
            </w:r>
            <w:r>
              <w:rPr>
                <w:rFonts w:ascii="Times New Roman" w:hAnsi="Times New Roman"/>
                <w:b/>
                <w:sz w:val="18"/>
              </w:rPr>
              <w:t>N°</w:t>
            </w:r>
          </w:p>
        </w:tc>
        <w:tc>
          <w:tcPr>
            <w:tcW w:type="dxa" w:w="2275"/>
            <w:shd w:fill="D9E2F3" w:val="clear"/>
          </w:tcPr>
          <w:p>
            <w:pPr>
              <w:jc w:val="left"/>
            </w:pPr>
            <w:r>
              <w:rPr>
                <w:color w:val="000000"/>
              </w:rPr>
            </w:r>
            <w:r>
              <w:rPr>
                <w:rFonts w:ascii="Times New Roman" w:hAnsi="Times New Roman"/>
                <w:b/>
                <w:sz w:val="18"/>
              </w:rPr>
              <w:t>DESCRIPCIÓN DEL BIEN</w:t>
            </w:r>
          </w:p>
        </w:tc>
        <w:tc>
          <w:tcPr>
            <w:tcW w:type="dxa" w:w="2275"/>
            <w:shd w:fill="D9E2F3" w:val="clear"/>
          </w:tcPr>
          <w:p>
            <w:pPr>
              <w:jc w:val="left"/>
            </w:pPr>
            <w:r>
              <w:rPr>
                <w:color w:val="000000"/>
              </w:rPr>
            </w:r>
            <w:r>
              <w:rPr>
                <w:rFonts w:ascii="Times New Roman" w:hAnsi="Times New Roman"/>
                <w:b/>
                <w:sz w:val="18"/>
              </w:rPr>
              <w:t>CANT.</w:t>
            </w:r>
          </w:p>
        </w:tc>
        <w:tc>
          <w:tcPr>
            <w:tcW w:type="dxa" w:w="2275"/>
            <w:shd w:fill="D9E2F3" w:val="clear"/>
          </w:tcPr>
          <w:p>
            <w:pPr>
              <w:jc w:val="left"/>
            </w:pPr>
            <w:r>
              <w:rPr>
                <w:color w:val="000000"/>
              </w:rPr>
            </w:r>
            <w:r>
              <w:rPr>
                <w:rFonts w:ascii="Times New Roman" w:hAnsi="Times New Roman"/>
                <w:b/>
                <w:sz w:val="18"/>
              </w:rPr>
              <w:t>OBSERVACIONES</w:t>
            </w:r>
          </w:p>
        </w:tc>
      </w:tr>
      <w:tr>
        <w:tc>
          <w:tcPr>
            <w:tcW w:type="dxa" w:w="2275"/>
          </w:tcPr>
          <w:p>
            <w:pPr>
              <w:jc w:val="center"/>
            </w:pPr>
            <w:r/>
            <w:r>
              <w:rPr>
                <w:rFonts w:ascii="Times New Roman" w:hAnsi="Times New Roman"/>
                <w:sz w:val="18"/>
              </w:rPr>
              <w:t>8</w:t>
            </w:r>
          </w:p>
        </w:tc>
        <w:tc>
          <w:tcPr>
            <w:tcW w:type="dxa" w:w="2275"/>
          </w:tcPr>
          <w:p>
            <w:pPr>
              <w:jc w:val="left"/>
            </w:pPr>
            <w:r/>
            <w:r>
              <w:rPr>
                <w:rFonts w:ascii="Times New Roman" w:hAnsi="Times New Roman"/>
                <w:sz w:val="18"/>
              </w:rPr>
              <w:t>Computadoras de escritorio / portátiles</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Equipos de cómputo para desarrollo de software, gestión administrativa y operaciones de plataforma. Incluyen procesador, memoria RAM y almacenamiento SSD.</w:t>
            </w:r>
          </w:p>
        </w:tc>
      </w:tr>
      <w:tr>
        <w:tc>
          <w:tcPr>
            <w:tcW w:type="dxa" w:w="2275"/>
          </w:tcPr>
          <w:p>
            <w:pPr>
              <w:jc w:val="center"/>
            </w:pPr>
            <w:r/>
            <w:r>
              <w:rPr>
                <w:rFonts w:ascii="Times New Roman" w:hAnsi="Times New Roman"/>
                <w:sz w:val="18"/>
              </w:rPr>
              <w:t>9</w:t>
            </w:r>
          </w:p>
        </w:tc>
        <w:tc>
          <w:tcPr>
            <w:tcW w:type="dxa" w:w="2275"/>
          </w:tcPr>
          <w:p>
            <w:pPr>
              <w:jc w:val="left"/>
            </w:pPr>
            <w:r/>
            <w:r>
              <w:rPr>
                <w:rFonts w:ascii="Times New Roman" w:hAnsi="Times New Roman"/>
                <w:sz w:val="18"/>
              </w:rPr>
              <w:t>Monitores LED de alta resolución. 24 pulgadas c/u</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Monitores de 24 pulgadas con resolución Full HD, panel IPS, para estaciones de trabajo de programación y diseño.</w:t>
            </w:r>
          </w:p>
        </w:tc>
      </w:tr>
      <w:tr>
        <w:tc>
          <w:tcPr>
            <w:tcW w:type="dxa" w:w="2275"/>
          </w:tcPr>
          <w:p>
            <w:pPr>
              <w:jc w:val="center"/>
            </w:pPr>
            <w:r/>
            <w:r>
              <w:rPr>
                <w:rFonts w:ascii="Times New Roman" w:hAnsi="Times New Roman"/>
                <w:sz w:val="18"/>
              </w:rPr>
              <w:t>10</w:t>
            </w:r>
          </w:p>
        </w:tc>
        <w:tc>
          <w:tcPr>
            <w:tcW w:type="dxa" w:w="2275"/>
          </w:tcPr>
          <w:p>
            <w:pPr>
              <w:jc w:val="left"/>
            </w:pPr>
            <w:r/>
            <w:r>
              <w:rPr>
                <w:rFonts w:ascii="Times New Roman" w:hAnsi="Times New Roman"/>
                <w:sz w:val="18"/>
              </w:rPr>
              <w:t>Televisores LED inteligentes. 55 pulgadas c/u</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Televisores Smart TV de 55 pulgadas con conexión WiFi, para monitoreo de dashboards, presentaciones de clientes y panel de operaciones en tiempo real.</w:t>
            </w:r>
          </w:p>
        </w:tc>
      </w:tr>
      <w:tr>
        <w:tc>
          <w:tcPr>
            <w:tcW w:type="dxa" w:w="2275"/>
          </w:tcPr>
          <w:p>
            <w:pPr>
              <w:jc w:val="center"/>
            </w:pPr>
            <w:r/>
            <w:r>
              <w:rPr>
                <w:rFonts w:ascii="Times New Roman" w:hAnsi="Times New Roman"/>
                <w:sz w:val="18"/>
              </w:rPr>
              <w:t>11</w:t>
            </w:r>
          </w:p>
        </w:tc>
        <w:tc>
          <w:tcPr>
            <w:tcW w:type="dxa" w:w="2275"/>
          </w:tcPr>
          <w:p>
            <w:pPr>
              <w:jc w:val="left"/>
            </w:pPr>
            <w:r/>
            <w:r>
              <w:rPr>
                <w:rFonts w:ascii="Times New Roman" w:hAnsi="Times New Roman"/>
                <w:sz w:val="18"/>
              </w:rPr>
              <w:t>Teléfono institucional de línea</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Teléfono de línea fija con funciones de marcación rápida, contestadora y conferencia, para atención telefónica institucional.</w:t>
            </w:r>
          </w:p>
        </w:tc>
      </w:tr>
      <w:tr>
        <w:tc>
          <w:tcPr>
            <w:tcW w:type="dxa" w:w="2275"/>
          </w:tcPr>
          <w:p>
            <w:pPr>
              <w:jc w:val="center"/>
            </w:pPr>
            <w:r/>
            <w:r>
              <w:rPr>
                <w:rFonts w:ascii="Times New Roman" w:hAnsi="Times New Roman"/>
                <w:sz w:val="18"/>
              </w:rPr>
              <w:t>12</w:t>
            </w:r>
          </w:p>
        </w:tc>
        <w:tc>
          <w:tcPr>
            <w:tcW w:type="dxa" w:w="2275"/>
          </w:tcPr>
          <w:p>
            <w:pPr>
              <w:jc w:val="left"/>
            </w:pPr>
            <w:r/>
            <w:r>
              <w:rPr>
                <w:rFonts w:ascii="Times New Roman" w:hAnsi="Times New Roman"/>
                <w:sz w:val="18"/>
              </w:rPr>
              <w:t>Equipos de aire acondicionado. 12.000 BTU c/u</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Aires acondicionados split de 12.000 BTU, para climatización de la oficina principal y el área de producción audiovisual.</w:t>
            </w:r>
          </w:p>
        </w:tc>
      </w:tr>
      <w:tr>
        <w:tc>
          <w:tcPr>
            <w:tcW w:type="dxa" w:w="2275"/>
          </w:tcPr>
          <w:p>
            <w:pPr>
              <w:jc w:val="center"/>
            </w:pPr>
            <w:r/>
            <w:r>
              <w:rPr>
                <w:rFonts w:ascii="Times New Roman" w:hAnsi="Times New Roman"/>
                <w:sz w:val="18"/>
              </w:rPr>
              <w:t>13</w:t>
            </w:r>
          </w:p>
        </w:tc>
        <w:tc>
          <w:tcPr>
            <w:tcW w:type="dxa" w:w="2275"/>
          </w:tcPr>
          <w:p>
            <w:pPr>
              <w:jc w:val="left"/>
            </w:pPr>
            <w:r/>
            <w:r>
              <w:rPr>
                <w:rFonts w:ascii="Times New Roman" w:hAnsi="Times New Roman"/>
                <w:sz w:val="18"/>
              </w:rPr>
              <w:t>Unidad de Protección Eléctrica (UPS). 1.500 VA c/u</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Sistemas de respaldo eléctrico continuo para protección de equipos de cómputo y producción ante fluctuaciones y cortes eléctricos.</w:t>
            </w:r>
          </w:p>
        </w:tc>
      </w:tr>
      <w:tr>
        <w:tc>
          <w:tcPr>
            <w:tcW w:type="dxa" w:w="2275"/>
          </w:tcPr>
          <w:p>
            <w:pPr>
              <w:jc w:val="center"/>
            </w:pPr>
            <w:r/>
            <w:r>
              <w:rPr>
                <w:rFonts w:ascii="Times New Roman" w:hAnsi="Times New Roman"/>
                <w:sz w:val="18"/>
              </w:rPr>
              <w:t>14</w:t>
            </w:r>
          </w:p>
        </w:tc>
        <w:tc>
          <w:tcPr>
            <w:tcW w:type="dxa" w:w="2275"/>
          </w:tcPr>
          <w:p>
            <w:pPr>
              <w:jc w:val="left"/>
            </w:pPr>
            <w:r/>
            <w:r>
              <w:rPr>
                <w:rFonts w:ascii="Times New Roman" w:hAnsi="Times New Roman"/>
                <w:sz w:val="18"/>
              </w:rPr>
              <w:t>Router empresarial WiFi 6</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Router de alta capacidad con tecnología WiFi 6, soporte multiusuario y gestión de ancho de banda para operaciones simultáneas de desarrollo, producción y comunicaciones.</w:t>
            </w:r>
          </w:p>
        </w:tc>
      </w:tr>
      <w:tr>
        <w:tc>
          <w:tcPr>
            <w:tcW w:type="dxa" w:w="2275"/>
          </w:tcPr>
          <w:p>
            <w:pPr>
              <w:jc w:val="center"/>
            </w:pPr>
            <w:r/>
            <w:r>
              <w:rPr>
                <w:rFonts w:ascii="Times New Roman" w:hAnsi="Times New Roman"/>
                <w:sz w:val="18"/>
              </w:rPr>
              <w:t>15</w:t>
            </w:r>
          </w:p>
        </w:tc>
        <w:tc>
          <w:tcPr>
            <w:tcW w:type="dxa" w:w="2275"/>
          </w:tcPr>
          <w:p>
            <w:pPr>
              <w:jc w:val="left"/>
            </w:pPr>
            <w:r/>
            <w:r>
              <w:rPr>
                <w:rFonts w:ascii="Times New Roman" w:hAnsi="Times New Roman"/>
                <w:sz w:val="18"/>
              </w:rPr>
              <w:t>Switch de red administrable. 8 puertos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Switch gigabit con 8 puertos Ethernet para interconexión de equipos de red en la oficina.</w:t>
            </w:r>
          </w:p>
        </w:tc>
      </w:tr>
      <w:tr>
        <w:tc>
          <w:tcPr>
            <w:tcW w:type="dxa" w:w="2275"/>
          </w:tcPr>
          <w:p>
            <w:pPr>
              <w:jc w:val="center"/>
            </w:pPr>
            <w:r/>
            <w:r>
              <w:rPr>
                <w:rFonts w:ascii="Times New Roman" w:hAnsi="Times New Roman"/>
                <w:sz w:val="18"/>
              </w:rPr>
              <w:t>16</w:t>
            </w:r>
          </w:p>
        </w:tc>
        <w:tc>
          <w:tcPr>
            <w:tcW w:type="dxa" w:w="2275"/>
          </w:tcPr>
          <w:p>
            <w:pPr>
              <w:jc w:val="left"/>
            </w:pPr>
            <w:r/>
            <w:r>
              <w:rPr>
                <w:rFonts w:ascii="Times New Roman" w:hAnsi="Times New Roman"/>
                <w:sz w:val="18"/>
              </w:rPr>
              <w:t>Servidor NAS de almacenamiento. 4 TB</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Dispositivo de almacenamiento en red con 4 TB de capacidad, para respaldos locales, archivos compartidos y gestión de contenido multimedia.</w:t>
            </w:r>
          </w:p>
        </w:tc>
      </w:tr>
      <w:tr>
        <w:tc>
          <w:tcPr>
            <w:tcW w:type="dxa" w:w="2275"/>
          </w:tcPr>
          <w:p>
            <w:pPr>
              <w:jc w:val="center"/>
            </w:pPr>
            <w:r/>
            <w:r>
              <w:rPr>
                <w:rFonts w:ascii="Times New Roman" w:hAnsi="Times New Roman"/>
                <w:sz w:val="18"/>
              </w:rPr>
              <w:t>17</w:t>
            </w:r>
          </w:p>
        </w:tc>
        <w:tc>
          <w:tcPr>
            <w:tcW w:type="dxa" w:w="2275"/>
          </w:tcPr>
          <w:p>
            <w:pPr>
              <w:jc w:val="left"/>
            </w:pPr>
            <w:r/>
            <w:r>
              <w:rPr>
                <w:rFonts w:ascii="Times New Roman" w:hAnsi="Times New Roman"/>
                <w:sz w:val="18"/>
              </w:rPr>
              <w:t>Teléfonos celulares corporativos</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Teléfonos inteligentes asignados al equipo operativo para gestión de reservas, atención a clientes y notificaciones de plataforma.</w:t>
            </w:r>
          </w:p>
        </w:tc>
      </w:tr>
    </w:tbl>
    <w:p/>
    <w:p>
      <w:pPr>
        <w:spacing w:after="80" w:before="240"/>
        <w:jc w:val="left"/>
      </w:pPr>
      <w:r>
        <w:rPr>
          <w:rFonts w:ascii="Times New Roman" w:hAnsi="Times New Roman"/>
          <w:b/>
          <w:sz w:val="24"/>
        </w:rPr>
        <w:t>CATEGORÍA 3: EQUIPOS DE AUDIOVISUAL Y PRODUCCIÓN</w:t>
      </w:r>
    </w:p>
    <w:p>
      <w:pPr>
        <w:spacing w:after="160" w:before="0"/>
        <w:jc w:val="both"/>
      </w:pPr>
      <w:r>
        <w:rPr>
          <w:rFonts w:ascii="Times New Roman" w:hAnsi="Times New Roman"/>
          <w:b w:val="0"/>
          <w:sz w:val="24"/>
        </w:rPr>
        <w:t>Equipos destinados a la producción de contenido fotográfico y audiovisual para publicación de propiedades en la plataforma, material publicitario, marketing digital y contenido de redes sociales.</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pPr>
              <w:jc w:val="center"/>
            </w:pPr>
            <w:r>
              <w:rPr>
                <w:color w:val="000000"/>
              </w:rPr>
            </w:r>
            <w:r>
              <w:rPr>
                <w:rFonts w:ascii="Times New Roman" w:hAnsi="Times New Roman"/>
                <w:b/>
                <w:sz w:val="18"/>
              </w:rPr>
              <w:t>N°</w:t>
            </w:r>
          </w:p>
        </w:tc>
        <w:tc>
          <w:tcPr>
            <w:tcW w:type="dxa" w:w="2275"/>
            <w:shd w:fill="D9E2F3" w:val="clear"/>
          </w:tcPr>
          <w:p>
            <w:pPr>
              <w:jc w:val="left"/>
            </w:pPr>
            <w:r>
              <w:rPr>
                <w:color w:val="000000"/>
              </w:rPr>
            </w:r>
            <w:r>
              <w:rPr>
                <w:rFonts w:ascii="Times New Roman" w:hAnsi="Times New Roman"/>
                <w:b/>
                <w:sz w:val="18"/>
              </w:rPr>
              <w:t>DESCRIPCIÓN DEL BIEN</w:t>
            </w:r>
          </w:p>
        </w:tc>
        <w:tc>
          <w:tcPr>
            <w:tcW w:type="dxa" w:w="2275"/>
            <w:shd w:fill="D9E2F3" w:val="clear"/>
          </w:tcPr>
          <w:p>
            <w:pPr>
              <w:jc w:val="left"/>
            </w:pPr>
            <w:r>
              <w:rPr>
                <w:color w:val="000000"/>
              </w:rPr>
            </w:r>
            <w:r>
              <w:rPr>
                <w:rFonts w:ascii="Times New Roman" w:hAnsi="Times New Roman"/>
                <w:b/>
                <w:sz w:val="18"/>
              </w:rPr>
              <w:t>CANT.</w:t>
            </w:r>
          </w:p>
        </w:tc>
        <w:tc>
          <w:tcPr>
            <w:tcW w:type="dxa" w:w="2275"/>
            <w:shd w:fill="D9E2F3" w:val="clear"/>
          </w:tcPr>
          <w:p>
            <w:pPr>
              <w:jc w:val="left"/>
            </w:pPr>
            <w:r>
              <w:rPr>
                <w:color w:val="000000"/>
              </w:rPr>
            </w:r>
            <w:r>
              <w:rPr>
                <w:rFonts w:ascii="Times New Roman" w:hAnsi="Times New Roman"/>
                <w:b/>
                <w:sz w:val="18"/>
              </w:rPr>
              <w:t>OBSERVACIONES</w:t>
            </w:r>
          </w:p>
        </w:tc>
      </w:tr>
      <w:tr>
        <w:tc>
          <w:tcPr>
            <w:tcW w:type="dxa" w:w="2275"/>
          </w:tcPr>
          <w:p>
            <w:pPr>
              <w:jc w:val="center"/>
            </w:pPr>
            <w:r/>
            <w:r>
              <w:rPr>
                <w:rFonts w:ascii="Times New Roman" w:hAnsi="Times New Roman"/>
                <w:sz w:val="18"/>
              </w:rPr>
              <w:t>18</w:t>
            </w:r>
          </w:p>
        </w:tc>
        <w:tc>
          <w:tcPr>
            <w:tcW w:type="dxa" w:w="2275"/>
          </w:tcPr>
          <w:p>
            <w:pPr>
              <w:jc w:val="left"/>
            </w:pPr>
            <w:r/>
            <w:r>
              <w:rPr>
                <w:rFonts w:ascii="Times New Roman" w:hAnsi="Times New Roman"/>
                <w:sz w:val="18"/>
              </w:rPr>
              <w:t>Cámara profesional Sony a6700</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Cámara mirrorless APS-C de 26 MP, sensor Exmor R CMOS, grabación de video 4K a 60fps, pantalla táctil articulada, conectividad WiFi/Bluetooth, para fotografía profesional de propiedades y contenido audiovisual.</w:t>
            </w:r>
          </w:p>
        </w:tc>
      </w:tr>
      <w:tr>
        <w:tc>
          <w:tcPr>
            <w:tcW w:type="dxa" w:w="2275"/>
          </w:tcPr>
          <w:p>
            <w:pPr>
              <w:jc w:val="center"/>
            </w:pPr>
            <w:r/>
            <w:r>
              <w:rPr>
                <w:rFonts w:ascii="Times New Roman" w:hAnsi="Times New Roman"/>
                <w:sz w:val="18"/>
              </w:rPr>
              <w:t>19</w:t>
            </w:r>
          </w:p>
        </w:tc>
        <w:tc>
          <w:tcPr>
            <w:tcW w:type="dxa" w:w="2275"/>
          </w:tcPr>
          <w:p>
            <w:pPr>
              <w:jc w:val="left"/>
            </w:pPr>
            <w:r/>
            <w:r>
              <w:rPr>
                <w:rFonts w:ascii="Times New Roman" w:hAnsi="Times New Roman"/>
                <w:sz w:val="18"/>
              </w:rPr>
              <w:t>Lente Sigma Montura E 35mm f/1.4. 35mm f/1.4</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Lente prime de distancia focal fija de 35mm y apertura máxima f/1.4, montura Sony E, ideal para fotografía de interiores, detalles arquitectónicos y retratos corporativos con desenfoque de fondo.</w:t>
            </w:r>
          </w:p>
        </w:tc>
      </w:tr>
      <w:tr>
        <w:tc>
          <w:tcPr>
            <w:tcW w:type="dxa" w:w="2275"/>
          </w:tcPr>
          <w:p>
            <w:pPr>
              <w:jc w:val="center"/>
            </w:pPr>
            <w:r/>
            <w:r>
              <w:rPr>
                <w:rFonts w:ascii="Times New Roman" w:hAnsi="Times New Roman"/>
                <w:sz w:val="18"/>
              </w:rPr>
              <w:t>20</w:t>
            </w:r>
          </w:p>
        </w:tc>
        <w:tc>
          <w:tcPr>
            <w:tcW w:type="dxa" w:w="2275"/>
          </w:tcPr>
          <w:p>
            <w:pPr>
              <w:jc w:val="left"/>
            </w:pPr>
            <w:r/>
            <w:r>
              <w:rPr>
                <w:rFonts w:ascii="Times New Roman" w:hAnsi="Times New Roman"/>
                <w:sz w:val="18"/>
              </w:rPr>
              <w:t>Lente Sony 18-135mm Montura E. 18-135mm f/3.5-5.6</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Lente zoom versátil de 18 a 135mm, apertura f/3.5-5.6, montura Sony E, ideal para fotografía general de propiedades, exteriores y tomas de gran angular a teleobjetivo.</w:t>
            </w:r>
          </w:p>
        </w:tc>
      </w:tr>
      <w:tr>
        <w:tc>
          <w:tcPr>
            <w:tcW w:type="dxa" w:w="2275"/>
          </w:tcPr>
          <w:p>
            <w:pPr>
              <w:jc w:val="center"/>
            </w:pPr>
            <w:r/>
            <w:r>
              <w:rPr>
                <w:rFonts w:ascii="Times New Roman" w:hAnsi="Times New Roman"/>
                <w:sz w:val="18"/>
              </w:rPr>
              <w:t>21</w:t>
            </w:r>
          </w:p>
        </w:tc>
        <w:tc>
          <w:tcPr>
            <w:tcW w:type="dxa" w:w="2275"/>
          </w:tcPr>
          <w:p>
            <w:pPr>
              <w:jc w:val="left"/>
            </w:pPr>
            <w:r/>
            <w:r>
              <w:rPr>
                <w:rFonts w:ascii="Times New Roman" w:hAnsi="Times New Roman"/>
                <w:sz w:val="18"/>
              </w:rPr>
              <w:t>Estabilizador gimbal DJI RS 4 Pro</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Gimbal estabilizador de ejes para cámaras mirrorless, capacidad de carga hasta 4.5 kg, modo seguimiento, timelapse, vertical y sujetador integrado, para video fluido de recorridos virtuales por propiedades.</w:t>
            </w:r>
          </w:p>
        </w:tc>
      </w:tr>
      <w:tr>
        <w:tc>
          <w:tcPr>
            <w:tcW w:type="dxa" w:w="2275"/>
          </w:tcPr>
          <w:p>
            <w:pPr>
              <w:jc w:val="center"/>
            </w:pPr>
            <w:r/>
            <w:r>
              <w:rPr>
                <w:rFonts w:ascii="Times New Roman" w:hAnsi="Times New Roman"/>
                <w:sz w:val="18"/>
              </w:rPr>
              <w:t>22</w:t>
            </w:r>
          </w:p>
        </w:tc>
        <w:tc>
          <w:tcPr>
            <w:tcW w:type="dxa" w:w="2275"/>
          </w:tcPr>
          <w:p>
            <w:pPr>
              <w:jc w:val="left"/>
            </w:pPr>
            <w:r/>
            <w:r>
              <w:rPr>
                <w:rFonts w:ascii="Times New Roman" w:hAnsi="Times New Roman"/>
                <w:sz w:val="18"/>
              </w:rPr>
              <w:t>Focos LED RGB profesionales</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Luces LED RGB con ajuste de temperatura de color (3.200K-5.600K), intensidad variable, control remoto por app, montura de estudio, para iluminación de escenarios de fotografía y video de interiores.</w:t>
            </w:r>
          </w:p>
        </w:tc>
      </w:tr>
      <w:tr>
        <w:tc>
          <w:tcPr>
            <w:tcW w:type="dxa" w:w="2275"/>
          </w:tcPr>
          <w:p>
            <w:pPr>
              <w:jc w:val="center"/>
            </w:pPr>
            <w:r/>
            <w:r>
              <w:rPr>
                <w:rFonts w:ascii="Times New Roman" w:hAnsi="Times New Roman"/>
                <w:sz w:val="18"/>
              </w:rPr>
              <w:t>23</w:t>
            </w:r>
          </w:p>
        </w:tc>
        <w:tc>
          <w:tcPr>
            <w:tcW w:type="dxa" w:w="2275"/>
          </w:tcPr>
          <w:p>
            <w:pPr>
              <w:jc w:val="left"/>
            </w:pPr>
            <w:r/>
            <w:r>
              <w:rPr>
                <w:rFonts w:ascii="Times New Roman" w:hAnsi="Times New Roman"/>
                <w:sz w:val="18"/>
              </w:rPr>
              <w:t>Micrófonos profesionales Shure</w:t>
            </w:r>
          </w:p>
        </w:tc>
        <w:tc>
          <w:tcPr>
            <w:tcW w:type="dxa" w:w="2275"/>
          </w:tcPr>
          <w:p>
            <w:pPr>
              <w:jc w:val="left"/>
            </w:pPr>
            <w:r/>
            <w:r>
              <w:rPr>
                <w:rFonts w:ascii="Times New Roman" w:hAnsi="Times New Roman"/>
                <w:sz w:val="18"/>
              </w:rPr>
              <w:t>3</w:t>
            </w:r>
          </w:p>
        </w:tc>
        <w:tc>
          <w:tcPr>
            <w:tcW w:type="dxa" w:w="2275"/>
          </w:tcPr>
          <w:p>
            <w:pPr>
              <w:jc w:val="left"/>
            </w:pPr>
            <w:r/>
            <w:r>
              <w:rPr>
                <w:rFonts w:ascii="Times New Roman" w:hAnsi="Times New Roman"/>
                <w:sz w:val="18"/>
              </w:rPr>
              <w:t>Micrófonos dinámicos cardioides profesionales marca Shure, con captación direccional de audio, para grabación de voz, entrevistas, contenido de redes sociales y podcasts corporativos.</w:t>
            </w:r>
          </w:p>
        </w:tc>
      </w:tr>
      <w:tr>
        <w:tc>
          <w:tcPr>
            <w:tcW w:type="dxa" w:w="2275"/>
          </w:tcPr>
          <w:p>
            <w:pPr>
              <w:jc w:val="center"/>
            </w:pPr>
            <w:r/>
            <w:r>
              <w:rPr>
                <w:rFonts w:ascii="Times New Roman" w:hAnsi="Times New Roman"/>
                <w:sz w:val="18"/>
              </w:rPr>
              <w:t>24</w:t>
            </w:r>
          </w:p>
        </w:tc>
        <w:tc>
          <w:tcPr>
            <w:tcW w:type="dxa" w:w="2275"/>
          </w:tcPr>
          <w:p>
            <w:pPr>
              <w:jc w:val="left"/>
            </w:pPr>
            <w:r/>
            <w:r>
              <w:rPr>
                <w:rFonts w:ascii="Times New Roman" w:hAnsi="Times New Roman"/>
                <w:sz w:val="18"/>
              </w:rPr>
              <w:t>Trípode profesional de video</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Trípode de aluminio con fluid head, altura máxima 180 cm, capacidad de carga hasta 5 kg, bolsa de transporte incluida, para estabilización de tomas fijas en producciones de video.</w:t>
            </w:r>
          </w:p>
        </w:tc>
      </w:tr>
      <w:tr>
        <w:tc>
          <w:tcPr>
            <w:tcW w:type="dxa" w:w="2275"/>
          </w:tcPr>
          <w:p>
            <w:pPr>
              <w:jc w:val="center"/>
            </w:pPr>
            <w:r/>
            <w:r>
              <w:rPr>
                <w:rFonts w:ascii="Times New Roman" w:hAnsi="Times New Roman"/>
                <w:sz w:val="18"/>
              </w:rPr>
              <w:t>25</w:t>
            </w:r>
          </w:p>
        </w:tc>
        <w:tc>
          <w:tcPr>
            <w:tcW w:type="dxa" w:w="2275"/>
          </w:tcPr>
          <w:p>
            <w:pPr>
              <w:jc w:val="left"/>
            </w:pPr>
            <w:r/>
            <w:r>
              <w:rPr>
                <w:rFonts w:ascii="Times New Roman" w:hAnsi="Times New Roman"/>
                <w:sz w:val="18"/>
              </w:rPr>
              <w:t>Pantalla de croma / green screen. 2 x 3 metros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Pantalla plegable de tela verde (chroma key) de 2 x 3 metros con soporte telescópico, para producción de contenido con fondos virtuales.</w:t>
            </w:r>
          </w:p>
        </w:tc>
      </w:tr>
      <w:tr>
        <w:tc>
          <w:tcPr>
            <w:tcW w:type="dxa" w:w="2275"/>
          </w:tcPr>
          <w:p>
            <w:pPr>
              <w:jc w:val="center"/>
            </w:pPr>
            <w:r/>
            <w:r>
              <w:rPr>
                <w:rFonts w:ascii="Times New Roman" w:hAnsi="Times New Roman"/>
                <w:sz w:val="18"/>
              </w:rPr>
              <w:t>26</w:t>
            </w:r>
          </w:p>
        </w:tc>
        <w:tc>
          <w:tcPr>
            <w:tcW w:type="dxa" w:w="2275"/>
          </w:tcPr>
          <w:p>
            <w:pPr>
              <w:jc w:val="left"/>
            </w:pPr>
            <w:r/>
            <w:r>
              <w:rPr>
                <w:rFonts w:ascii="Times New Roman" w:hAnsi="Times New Roman"/>
                <w:sz w:val="18"/>
              </w:rPr>
              <w:t>Backdrops de estudio para fotografía</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Fondos de estudio de papel neutro (blanco y gris) con soporte extensible, para sesiones de fotografía profesional de productos del Boogie Store y material corporativo.</w:t>
            </w:r>
          </w:p>
        </w:tc>
      </w:tr>
      <w:tr>
        <w:tc>
          <w:tcPr>
            <w:tcW w:type="dxa" w:w="2275"/>
          </w:tcPr>
          <w:p>
            <w:pPr>
              <w:jc w:val="center"/>
            </w:pPr>
            <w:r/>
            <w:r>
              <w:rPr>
                <w:rFonts w:ascii="Times New Roman" w:hAnsi="Times New Roman"/>
                <w:sz w:val="18"/>
              </w:rPr>
              <w:t>27</w:t>
            </w:r>
          </w:p>
        </w:tc>
        <w:tc>
          <w:tcPr>
            <w:tcW w:type="dxa" w:w="2275"/>
          </w:tcPr>
          <w:p>
            <w:pPr>
              <w:jc w:val="left"/>
            </w:pPr>
            <w:r/>
            <w:r>
              <w:rPr>
                <w:rFonts w:ascii="Times New Roman" w:hAnsi="Times New Roman"/>
                <w:sz w:val="18"/>
              </w:rPr>
              <w:t>Accesorios de iluminación y producción</w:t>
            </w:r>
          </w:p>
        </w:tc>
        <w:tc>
          <w:tcPr>
            <w:tcW w:type="dxa" w:w="2275"/>
          </w:tcPr>
          <w:p>
            <w:pPr>
              <w:jc w:val="left"/>
            </w:pPr>
            <w:r/>
            <w:r>
              <w:rPr>
                <w:rFonts w:ascii="Times New Roman" w:hAnsi="Times New Roman"/>
                <w:sz w:val="18"/>
              </w:rPr>
              <w:t>—</w:t>
            </w:r>
          </w:p>
        </w:tc>
        <w:tc>
          <w:tcPr>
            <w:tcW w:type="dxa" w:w="2275"/>
          </w:tcPr>
          <w:p>
            <w:pPr>
              <w:jc w:val="left"/>
            </w:pPr>
            <w:r/>
            <w:r>
              <w:rPr>
                <w:rFonts w:ascii="Times New Roman" w:hAnsi="Times New Roman"/>
                <w:sz w:val="18"/>
              </w:rPr>
              <w:t>Incluye: reflectores plegables, difusores, filtros ND, baterías recargables para cámara y gimbal, tarjetas de memoria SD de alta velocidad, cables de audio, maletines de transporte para equipos, limpiador de lentes y fundas protectoras.</w:t>
            </w:r>
          </w:p>
        </w:tc>
      </w:tr>
    </w:tbl>
    <w:p/>
    <w:p>
      <w:pPr>
        <w:spacing w:after="80" w:before="240"/>
        <w:jc w:val="left"/>
      </w:pPr>
      <w:r>
        <w:rPr>
          <w:rFonts w:ascii="Times New Roman" w:hAnsi="Times New Roman"/>
          <w:b/>
          <w:sz w:val="24"/>
        </w:rPr>
        <w:t>CATEGORÍA 4: ACTIVOS DIGITALES Y SOFTWARE</w:t>
      </w:r>
    </w:p>
    <w:p>
      <w:pPr>
        <w:spacing w:after="160" w:before="0"/>
        <w:jc w:val="both"/>
      </w:pPr>
      <w:r>
        <w:rPr>
          <w:rFonts w:ascii="Times New Roman" w:hAnsi="Times New Roman"/>
          <w:b w:val="0"/>
          <w:sz w:val="24"/>
        </w:rPr>
        <w:t>Activos intangibles de propiedad de la Sociedad, incluyendo la plataforma tecnológica, aplicaciones, dominios, sistemas de información y software desarrollado internamente o adquirido con licencia.</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pPr>
              <w:jc w:val="center"/>
            </w:pPr>
            <w:r>
              <w:rPr>
                <w:color w:val="000000"/>
              </w:rPr>
            </w:r>
            <w:r>
              <w:rPr>
                <w:rFonts w:ascii="Times New Roman" w:hAnsi="Times New Roman"/>
                <w:b/>
                <w:sz w:val="18"/>
              </w:rPr>
              <w:t>N°</w:t>
            </w:r>
          </w:p>
        </w:tc>
        <w:tc>
          <w:tcPr>
            <w:tcW w:type="dxa" w:w="2275"/>
            <w:shd w:fill="D9E2F3" w:val="clear"/>
          </w:tcPr>
          <w:p>
            <w:pPr>
              <w:jc w:val="left"/>
            </w:pPr>
            <w:r>
              <w:rPr>
                <w:color w:val="000000"/>
              </w:rPr>
            </w:r>
            <w:r>
              <w:rPr>
                <w:rFonts w:ascii="Times New Roman" w:hAnsi="Times New Roman"/>
                <w:b/>
                <w:sz w:val="18"/>
              </w:rPr>
              <w:t>DESCRIPCIÓN DEL BIEN</w:t>
            </w:r>
          </w:p>
        </w:tc>
        <w:tc>
          <w:tcPr>
            <w:tcW w:type="dxa" w:w="2275"/>
            <w:shd w:fill="D9E2F3" w:val="clear"/>
          </w:tcPr>
          <w:p>
            <w:pPr>
              <w:jc w:val="left"/>
            </w:pPr>
            <w:r>
              <w:rPr>
                <w:color w:val="000000"/>
              </w:rPr>
            </w:r>
            <w:r>
              <w:rPr>
                <w:rFonts w:ascii="Times New Roman" w:hAnsi="Times New Roman"/>
                <w:b/>
                <w:sz w:val="18"/>
              </w:rPr>
              <w:t>CANT.</w:t>
            </w:r>
          </w:p>
        </w:tc>
        <w:tc>
          <w:tcPr>
            <w:tcW w:type="dxa" w:w="2275"/>
            <w:shd w:fill="D9E2F3" w:val="clear"/>
          </w:tcPr>
          <w:p>
            <w:pPr>
              <w:jc w:val="left"/>
            </w:pPr>
            <w:r>
              <w:rPr>
                <w:color w:val="000000"/>
              </w:rPr>
            </w:r>
            <w:r>
              <w:rPr>
                <w:rFonts w:ascii="Times New Roman" w:hAnsi="Times New Roman"/>
                <w:b/>
                <w:sz w:val="18"/>
              </w:rPr>
              <w:t>OBSERVACIONES</w:t>
            </w:r>
          </w:p>
        </w:tc>
      </w:tr>
      <w:tr>
        <w:tc>
          <w:tcPr>
            <w:tcW w:type="dxa" w:w="2275"/>
          </w:tcPr>
          <w:p>
            <w:pPr>
              <w:jc w:val="center"/>
            </w:pPr>
            <w:r/>
            <w:r>
              <w:rPr>
                <w:rFonts w:ascii="Times New Roman" w:hAnsi="Times New Roman"/>
                <w:sz w:val="18"/>
              </w:rPr>
              <w:t>28</w:t>
            </w:r>
          </w:p>
        </w:tc>
        <w:tc>
          <w:tcPr>
            <w:tcW w:type="dxa" w:w="2275"/>
          </w:tcPr>
          <w:p>
            <w:pPr>
              <w:jc w:val="left"/>
            </w:pPr>
            <w:r/>
            <w:r>
              <w:rPr>
                <w:rFonts w:ascii="Times New Roman" w:hAnsi="Times New Roman"/>
                <w:sz w:val="18"/>
              </w:rPr>
              <w:t>Página web y plataforma principal Boogie. boogierent.com</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Plataforma web completa de intermediación de alojamiento vacacional, incluyendo: catálogo de propiedades con búsqueda avanzada, sistema de reservas, panel de anfitriones, panel de administración, chat en tiempo real, pasarela de pagos, sistema de reseñas, gestión de cupones, Boogie Store, sistema de ofertas 'Negocia tu Boogie', dashboard de métricas y estadísticas.</w:t>
            </w:r>
          </w:p>
        </w:tc>
      </w:tr>
      <w:tr>
        <w:tc>
          <w:tcPr>
            <w:tcW w:type="dxa" w:w="2275"/>
          </w:tcPr>
          <w:p>
            <w:pPr>
              <w:jc w:val="center"/>
            </w:pPr>
            <w:r/>
            <w:r>
              <w:rPr>
                <w:rFonts w:ascii="Times New Roman" w:hAnsi="Times New Roman"/>
                <w:sz w:val="18"/>
              </w:rPr>
              <w:t>29</w:t>
            </w:r>
          </w:p>
        </w:tc>
        <w:tc>
          <w:tcPr>
            <w:tcW w:type="dxa" w:w="2275"/>
          </w:tcPr>
          <w:p>
            <w:pPr>
              <w:jc w:val="left"/>
            </w:pPr>
            <w:r/>
            <w:r>
              <w:rPr>
                <w:rFonts w:ascii="Times New Roman" w:hAnsi="Times New Roman"/>
                <w:sz w:val="18"/>
              </w:rPr>
              <w:t>Aplicaciones móviles Boogie (iOS y Android)</w:t>
            </w:r>
          </w:p>
        </w:tc>
        <w:tc>
          <w:tcPr>
            <w:tcW w:type="dxa" w:w="2275"/>
          </w:tcPr>
          <w:p>
            <w:pPr>
              <w:jc w:val="left"/>
            </w:pPr>
            <w:r/>
            <w:r>
              <w:rPr>
                <w:rFonts w:ascii="Times New Roman" w:hAnsi="Times New Roman"/>
                <w:sz w:val="18"/>
              </w:rPr>
              <w:t>2</w:t>
            </w:r>
          </w:p>
        </w:tc>
        <w:tc>
          <w:tcPr>
            <w:tcW w:type="dxa" w:w="2275"/>
          </w:tcPr>
          <w:p>
            <w:pPr>
              <w:jc w:val="left"/>
            </w:pPr>
            <w:r/>
            <w:r>
              <w:rPr>
                <w:rFonts w:ascii="Times New Roman" w:hAnsi="Times New Roman"/>
                <w:sz w:val="18"/>
              </w:rPr>
              <w:t>Aplicaciones nativas multiplataforma (iOS y Android) con funcionalidades de búsqueda, reserva, check-in/check-out, notificaciones push, chat, pagos y gestión de propiedades.</w:t>
            </w:r>
          </w:p>
        </w:tc>
      </w:tr>
      <w:tr>
        <w:tc>
          <w:tcPr>
            <w:tcW w:type="dxa" w:w="2275"/>
          </w:tcPr>
          <w:p>
            <w:pPr>
              <w:jc w:val="center"/>
            </w:pPr>
            <w:r/>
            <w:r>
              <w:rPr>
                <w:rFonts w:ascii="Times New Roman" w:hAnsi="Times New Roman"/>
                <w:sz w:val="18"/>
              </w:rPr>
              <w:t>30</w:t>
            </w:r>
          </w:p>
        </w:tc>
        <w:tc>
          <w:tcPr>
            <w:tcW w:type="dxa" w:w="2275"/>
          </w:tcPr>
          <w:p>
            <w:pPr>
              <w:jc w:val="left"/>
            </w:pPr>
            <w:r/>
            <w:r>
              <w:rPr>
                <w:rFonts w:ascii="Times New Roman" w:hAnsi="Times New Roman"/>
                <w:sz w:val="18"/>
              </w:rPr>
              <w:t>Backend API en Go microservice</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Servicio backend en lenguaje Go con arquitectura de microservicios, base de datos PostgreSQL (Supabase), autenticación JWT, procesamiento de pagos cripto (CryptAPI), integración BCV para tipos de cambio y webhooks de verificación (MetaMap).</w:t>
            </w:r>
          </w:p>
        </w:tc>
      </w:tr>
      <w:tr>
        <w:tc>
          <w:tcPr>
            <w:tcW w:type="dxa" w:w="2275"/>
          </w:tcPr>
          <w:p>
            <w:pPr>
              <w:jc w:val="center"/>
            </w:pPr>
            <w:r/>
            <w:r>
              <w:rPr>
                <w:rFonts w:ascii="Times New Roman" w:hAnsi="Times New Roman"/>
                <w:sz w:val="18"/>
              </w:rPr>
              <w:t>31</w:t>
            </w:r>
          </w:p>
        </w:tc>
        <w:tc>
          <w:tcPr>
            <w:tcW w:type="dxa" w:w="2275"/>
          </w:tcPr>
          <w:p>
            <w:pPr>
              <w:jc w:val="left"/>
            </w:pPr>
            <w:r/>
            <w:r>
              <w:rPr>
                <w:rFonts w:ascii="Times New Roman" w:hAnsi="Times New Roman"/>
                <w:sz w:val="18"/>
              </w:rPr>
              <w:t>Base de datos PostgreSQL (Supabase)</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Base de datos relacional alojada en Supabase con tablas de: usuarios, propiedades, reservas, pagos, reseñas, cupones, ofertas, notificaciones, audit logs y configuraciones de plataforma.</w:t>
            </w:r>
          </w:p>
        </w:tc>
      </w:tr>
      <w:tr>
        <w:tc>
          <w:tcPr>
            <w:tcW w:type="dxa" w:w="2275"/>
          </w:tcPr>
          <w:p>
            <w:pPr>
              <w:jc w:val="center"/>
            </w:pPr>
            <w:r/>
            <w:r>
              <w:rPr>
                <w:rFonts w:ascii="Times New Roman" w:hAnsi="Times New Roman"/>
                <w:sz w:val="18"/>
              </w:rPr>
              <w:t>32</w:t>
            </w:r>
          </w:p>
        </w:tc>
        <w:tc>
          <w:tcPr>
            <w:tcW w:type="dxa" w:w="2275"/>
          </w:tcPr>
          <w:p>
            <w:pPr>
              <w:jc w:val="left"/>
            </w:pPr>
            <w:r/>
            <w:r>
              <w:rPr>
                <w:rFonts w:ascii="Times New Roman" w:hAnsi="Times New Roman"/>
                <w:sz w:val="18"/>
              </w:rPr>
              <w:t>Dominio boogierent.com</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Nombre de dominio principal registrado y administrado por la Sociedad para la operación de la plataforma web.</w:t>
            </w:r>
          </w:p>
        </w:tc>
      </w:tr>
      <w:tr>
        <w:tc>
          <w:tcPr>
            <w:tcW w:type="dxa" w:w="2275"/>
          </w:tcPr>
          <w:p>
            <w:pPr>
              <w:jc w:val="center"/>
            </w:pPr>
            <w:r/>
            <w:r>
              <w:rPr>
                <w:rFonts w:ascii="Times New Roman" w:hAnsi="Times New Roman"/>
                <w:sz w:val="18"/>
              </w:rPr>
              <w:t>33</w:t>
            </w:r>
          </w:p>
        </w:tc>
        <w:tc>
          <w:tcPr>
            <w:tcW w:type="dxa" w:w="2275"/>
          </w:tcPr>
          <w:p>
            <w:pPr>
              <w:jc w:val="left"/>
            </w:pPr>
            <w:r/>
            <w:r>
              <w:rPr>
                <w:rFonts w:ascii="Times New Roman" w:hAnsi="Times New Roman"/>
                <w:sz w:val="18"/>
              </w:rPr>
              <w:t>Certificado SSL/TLS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Certificado de seguridad digital para encriptación de comunicaciones entre usuarios y la plataforma.</w:t>
            </w:r>
          </w:p>
        </w:tc>
      </w:tr>
      <w:tr>
        <w:tc>
          <w:tcPr>
            <w:tcW w:type="dxa" w:w="2275"/>
          </w:tcPr>
          <w:p>
            <w:pPr>
              <w:jc w:val="center"/>
            </w:pPr>
            <w:r/>
            <w:r>
              <w:rPr>
                <w:rFonts w:ascii="Times New Roman" w:hAnsi="Times New Roman"/>
                <w:sz w:val="18"/>
              </w:rPr>
              <w:t>34</w:t>
            </w:r>
          </w:p>
        </w:tc>
        <w:tc>
          <w:tcPr>
            <w:tcW w:type="dxa" w:w="2275"/>
          </w:tcPr>
          <w:p>
            <w:pPr>
              <w:jc w:val="left"/>
            </w:pPr>
            <w:r/>
            <w:r>
              <w:rPr>
                <w:rFonts w:ascii="Times New Roman" w:hAnsi="Times New Roman"/>
                <w:sz w:val="18"/>
              </w:rPr>
              <w:t>Marcas registradas y logotipos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Incluye: logotipo principal Boogie, logotipo Boogie Store, logotipo Negocia tu Boogie, tipografías institucionales, paleta de colores, guía de marca y activos gráficos para redes sociales.</w:t>
            </w:r>
          </w:p>
        </w:tc>
      </w:tr>
      <w:tr>
        <w:tc>
          <w:tcPr>
            <w:tcW w:type="dxa" w:w="2275"/>
          </w:tcPr>
          <w:p>
            <w:pPr>
              <w:jc w:val="center"/>
            </w:pPr>
            <w:r/>
            <w:r>
              <w:rPr>
                <w:rFonts w:ascii="Times New Roman" w:hAnsi="Times New Roman"/>
                <w:sz w:val="18"/>
              </w:rPr>
              <w:t>35</w:t>
            </w:r>
          </w:p>
        </w:tc>
        <w:tc>
          <w:tcPr>
            <w:tcW w:type="dxa" w:w="2275"/>
          </w:tcPr>
          <w:p>
            <w:pPr>
              <w:jc w:val="left"/>
            </w:pPr>
            <w:r/>
            <w:r>
              <w:rPr>
                <w:rFonts w:ascii="Times New Roman" w:hAnsi="Times New Roman"/>
                <w:sz w:val="18"/>
              </w:rPr>
              <w:t>Licencias de software y servicios SaaS</w:t>
            </w:r>
          </w:p>
        </w:tc>
        <w:tc>
          <w:tcPr>
            <w:tcW w:type="dxa" w:w="2275"/>
          </w:tcPr>
          <w:p>
            <w:pPr>
              <w:jc w:val="left"/>
            </w:pPr>
            <w:r/>
            <w:r>
              <w:rPr>
                <w:rFonts w:ascii="Times New Roman" w:hAnsi="Times New Roman"/>
                <w:sz w:val="18"/>
              </w:rPr>
              <w:t>—</w:t>
            </w:r>
          </w:p>
        </w:tc>
        <w:tc>
          <w:tcPr>
            <w:tcW w:type="dxa" w:w="2275"/>
          </w:tcPr>
          <w:p>
            <w:pPr>
              <w:jc w:val="left"/>
            </w:pPr>
            <w:r/>
            <w:r>
              <w:rPr>
                <w:rFonts w:ascii="Times New Roman" w:hAnsi="Times New Roman"/>
                <w:sz w:val="18"/>
              </w:rPr>
              <w:t>Incluye: Vercel (hosting), Supabase (base de datos), Google Cloud/AWS, Mailgun/SendGrid (correos), Google Analytics, plan Ultra de Boogie, MetaMap (verificación), CryptAPI (pagos crypto) y demás herramientas de productividad y operación.</w:t>
            </w:r>
          </w:p>
        </w:tc>
      </w:tr>
    </w:tbl>
    <w:p/>
    <w:p>
      <w:pPr>
        <w:spacing w:after="80" w:before="240"/>
        <w:jc w:val="left"/>
      </w:pPr>
      <w:r>
        <w:rPr>
          <w:rFonts w:ascii="Times New Roman" w:hAnsi="Times New Roman"/>
          <w:b/>
          <w:sz w:val="24"/>
        </w:rPr>
        <w:t>CATEGORÍA 5: EQUIPOS Y SUMINISTROS DE OFICINA</w:t>
      </w:r>
    </w:p>
    <w:p>
      <w:pPr>
        <w:spacing w:after="160" w:before="0"/>
        <w:jc w:val="both"/>
      </w:pPr>
      <w:r>
        <w:rPr>
          <w:rFonts w:ascii="Times New Roman" w:hAnsi="Times New Roman"/>
          <w:b w:val="0"/>
          <w:sz w:val="24"/>
        </w:rPr>
        <w:t>Equipos complementarios, suministros y elementos de seguridad industrial y protección civil necesarios para el cumplimiento de las normativas laborales vigentes (LOPCYMAT) y el adecuado funcionamiento de la sede operativa de la Sociedad.</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D9E2F3" w:val="clear"/>
          </w:tcPr>
          <w:p>
            <w:pPr>
              <w:jc w:val="center"/>
            </w:pPr>
            <w:r>
              <w:rPr>
                <w:color w:val="000000"/>
              </w:rPr>
            </w:r>
            <w:r>
              <w:rPr>
                <w:rFonts w:ascii="Times New Roman" w:hAnsi="Times New Roman"/>
                <w:b/>
                <w:sz w:val="18"/>
              </w:rPr>
              <w:t>N°</w:t>
            </w:r>
          </w:p>
        </w:tc>
        <w:tc>
          <w:tcPr>
            <w:tcW w:type="dxa" w:w="2275"/>
            <w:shd w:fill="D9E2F3" w:val="clear"/>
          </w:tcPr>
          <w:p>
            <w:pPr>
              <w:jc w:val="left"/>
            </w:pPr>
            <w:r>
              <w:rPr>
                <w:color w:val="000000"/>
              </w:rPr>
            </w:r>
            <w:r>
              <w:rPr>
                <w:rFonts w:ascii="Times New Roman" w:hAnsi="Times New Roman"/>
                <w:b/>
                <w:sz w:val="18"/>
              </w:rPr>
              <w:t>DESCRIPCIÓN DEL BIEN</w:t>
            </w:r>
          </w:p>
        </w:tc>
        <w:tc>
          <w:tcPr>
            <w:tcW w:type="dxa" w:w="2275"/>
            <w:shd w:fill="D9E2F3" w:val="clear"/>
          </w:tcPr>
          <w:p>
            <w:pPr>
              <w:jc w:val="left"/>
            </w:pPr>
            <w:r>
              <w:rPr>
                <w:color w:val="000000"/>
              </w:rPr>
            </w:r>
            <w:r>
              <w:rPr>
                <w:rFonts w:ascii="Times New Roman" w:hAnsi="Times New Roman"/>
                <w:b/>
                <w:sz w:val="18"/>
              </w:rPr>
              <w:t>CANT.</w:t>
            </w:r>
          </w:p>
        </w:tc>
        <w:tc>
          <w:tcPr>
            <w:tcW w:type="dxa" w:w="2275"/>
            <w:shd w:fill="D9E2F3" w:val="clear"/>
          </w:tcPr>
          <w:p>
            <w:pPr>
              <w:jc w:val="left"/>
            </w:pPr>
            <w:r>
              <w:rPr>
                <w:color w:val="000000"/>
              </w:rPr>
            </w:r>
            <w:r>
              <w:rPr>
                <w:rFonts w:ascii="Times New Roman" w:hAnsi="Times New Roman"/>
                <w:b/>
                <w:sz w:val="18"/>
              </w:rPr>
              <w:t>OBSERVACIONES</w:t>
            </w:r>
          </w:p>
        </w:tc>
      </w:tr>
      <w:tr>
        <w:tc>
          <w:tcPr>
            <w:tcW w:type="dxa" w:w="2275"/>
          </w:tcPr>
          <w:p>
            <w:pPr>
              <w:jc w:val="center"/>
            </w:pPr>
            <w:r/>
            <w:r>
              <w:rPr>
                <w:rFonts w:ascii="Times New Roman" w:hAnsi="Times New Roman"/>
                <w:sz w:val="18"/>
              </w:rPr>
              <w:t>36</w:t>
            </w:r>
          </w:p>
        </w:tc>
        <w:tc>
          <w:tcPr>
            <w:tcW w:type="dxa" w:w="2275"/>
          </w:tcPr>
          <w:p>
            <w:pPr>
              <w:jc w:val="left"/>
            </w:pPr>
            <w:r/>
            <w:r>
              <w:rPr>
                <w:rFonts w:ascii="Times New Roman" w:hAnsi="Times New Roman"/>
                <w:sz w:val="18"/>
              </w:rPr>
              <w:t>Impresora multifuncional láser</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Impresora láser multifuncional (impresión, copia, escáner, fax), resolución 1200 dpi, conectividad WiFi y USB, para documentación legal, contratos y facturación.</w:t>
            </w:r>
          </w:p>
        </w:tc>
      </w:tr>
      <w:tr>
        <w:tc>
          <w:tcPr>
            <w:tcW w:type="dxa" w:w="2275"/>
          </w:tcPr>
          <w:p>
            <w:pPr>
              <w:jc w:val="center"/>
            </w:pPr>
            <w:r/>
            <w:r>
              <w:rPr>
                <w:rFonts w:ascii="Times New Roman" w:hAnsi="Times New Roman"/>
                <w:sz w:val="18"/>
              </w:rPr>
              <w:t>37</w:t>
            </w:r>
          </w:p>
        </w:tc>
        <w:tc>
          <w:tcPr>
            <w:tcW w:type="dxa" w:w="2275"/>
          </w:tcPr>
          <w:p>
            <w:pPr>
              <w:jc w:val="left"/>
            </w:pPr>
            <w:r/>
            <w:r>
              <w:rPr>
                <w:rFonts w:ascii="Times New Roman" w:hAnsi="Times New Roman"/>
                <w:sz w:val="18"/>
              </w:rPr>
              <w:t>Escáner de documentos profesional</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Escáner de alimentación automática de documentos (ADF) con velocidad de 30 ppm, para digitalización de cédulas, comprobantes bancarios y contratos firmados.</w:t>
            </w:r>
          </w:p>
        </w:tc>
      </w:tr>
      <w:tr>
        <w:tc>
          <w:tcPr>
            <w:tcW w:type="dxa" w:w="2275"/>
          </w:tcPr>
          <w:p>
            <w:pPr>
              <w:jc w:val="center"/>
            </w:pPr>
            <w:r/>
            <w:r>
              <w:rPr>
                <w:rFonts w:ascii="Times New Roman" w:hAnsi="Times New Roman"/>
                <w:sz w:val="18"/>
              </w:rPr>
              <w:t>38</w:t>
            </w:r>
          </w:p>
        </w:tc>
        <w:tc>
          <w:tcPr>
            <w:tcW w:type="dxa" w:w="2275"/>
          </w:tcPr>
          <w:p>
            <w:pPr>
              <w:jc w:val="left"/>
            </w:pPr>
            <w:r/>
            <w:r>
              <w:rPr>
                <w:rFonts w:ascii="Times New Roman" w:hAnsi="Times New Roman"/>
                <w:sz w:val="18"/>
              </w:rPr>
              <w:t>Destructora de documentos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Destructora de papel con seguridad nivel P-4 (corte cruzado), capacidad de 10 hojas por pasada, para destrucción segura de documentos confidenciales y datos sensibles.</w:t>
            </w:r>
          </w:p>
        </w:tc>
      </w:tr>
      <w:tr>
        <w:tc>
          <w:tcPr>
            <w:tcW w:type="dxa" w:w="2275"/>
          </w:tcPr>
          <w:p>
            <w:pPr>
              <w:jc w:val="center"/>
            </w:pPr>
            <w:r/>
            <w:r>
              <w:rPr>
                <w:rFonts w:ascii="Times New Roman" w:hAnsi="Times New Roman"/>
                <w:sz w:val="18"/>
              </w:rPr>
              <w:t>39</w:t>
            </w:r>
          </w:p>
        </w:tc>
        <w:tc>
          <w:tcPr>
            <w:tcW w:type="dxa" w:w="2275"/>
          </w:tcPr>
          <w:p>
            <w:pPr>
              <w:jc w:val="left"/>
            </w:pPr>
            <w:r/>
            <w:r>
              <w:rPr>
                <w:rFonts w:ascii="Times New Roman" w:hAnsi="Times New Roman"/>
                <w:sz w:val="18"/>
              </w:rPr>
              <w:t>Dispensador de agua</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Dispensador de agua con botellón recargable, con opciones de agua fría y temperatura ambiente, para uso del equipo operativo.</w:t>
            </w:r>
          </w:p>
        </w:tc>
      </w:tr>
      <w:tr>
        <w:tc>
          <w:tcPr>
            <w:tcW w:type="dxa" w:w="2275"/>
          </w:tcPr>
          <w:p>
            <w:pPr>
              <w:jc w:val="center"/>
            </w:pPr>
            <w:r/>
            <w:r>
              <w:rPr>
                <w:rFonts w:ascii="Times New Roman" w:hAnsi="Times New Roman"/>
                <w:sz w:val="18"/>
              </w:rPr>
              <w:t>40</w:t>
            </w:r>
          </w:p>
        </w:tc>
        <w:tc>
          <w:tcPr>
            <w:tcW w:type="dxa" w:w="2275"/>
          </w:tcPr>
          <w:p>
            <w:pPr>
              <w:jc w:val="left"/>
            </w:pPr>
            <w:r/>
            <w:r>
              <w:rPr>
                <w:rFonts w:ascii="Times New Roman" w:hAnsi="Times New Roman"/>
                <w:sz w:val="18"/>
              </w:rPr>
              <w:t>Kit de suministros de oficina</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Incluye: resmas de papel, bolígrafos, marcadores, clips, grapadoras, perforadoras, cinta adhesiva, carpetas archivadoras, pizarras blancas, borradores, notas adhesivas y demas material fungible de oficina.</w:t>
            </w:r>
          </w:p>
        </w:tc>
      </w:tr>
      <w:tr>
        <w:tc>
          <w:tcPr>
            <w:tcW w:type="dxa" w:w="2275"/>
          </w:tcPr>
          <w:p>
            <w:pPr>
              <w:jc w:val="center"/>
            </w:pPr>
            <w:r/>
            <w:r>
              <w:rPr>
                <w:rFonts w:ascii="Times New Roman" w:hAnsi="Times New Roman"/>
                <w:sz w:val="18"/>
              </w:rPr>
              <w:t>41</w:t>
            </w:r>
          </w:p>
        </w:tc>
        <w:tc>
          <w:tcPr>
            <w:tcW w:type="dxa" w:w="2275"/>
          </w:tcPr>
          <w:p>
            <w:pPr>
              <w:jc w:val="left"/>
            </w:pPr>
            <w:r/>
            <w:r>
              <w:rPr>
                <w:rFonts w:ascii="Times New Roman" w:hAnsi="Times New Roman"/>
                <w:sz w:val="18"/>
              </w:rPr>
              <w:t>Botiquín de primeros auxilios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Kit de primeros auxilios con insumos básicos de emergencia (vendajes, antisépticos, guantes), para cumplimiento de normativa de seguridad laboral (LOPCYMAT).</w:t>
            </w:r>
          </w:p>
        </w:tc>
      </w:tr>
      <w:tr>
        <w:tc>
          <w:tcPr>
            <w:tcW w:type="dxa" w:w="2275"/>
          </w:tcPr>
          <w:p>
            <w:pPr>
              <w:jc w:val="center"/>
            </w:pPr>
            <w:r/>
            <w:r>
              <w:rPr>
                <w:rFonts w:ascii="Times New Roman" w:hAnsi="Times New Roman"/>
                <w:sz w:val="18"/>
              </w:rPr>
              <w:t>42</w:t>
            </w:r>
          </w:p>
        </w:tc>
        <w:tc>
          <w:tcPr>
            <w:tcW w:type="dxa" w:w="2275"/>
          </w:tcPr>
          <w:p>
            <w:pPr>
              <w:jc w:val="left"/>
            </w:pPr>
            <w:r/>
            <w:r>
              <w:rPr>
                <w:rFonts w:ascii="Times New Roman" w:hAnsi="Times New Roman"/>
                <w:sz w:val="18"/>
              </w:rPr>
              <w:t>Extintor de incendios</w:t>
            </w:r>
          </w:p>
        </w:tc>
        <w:tc>
          <w:tcPr>
            <w:tcW w:type="dxa" w:w="2275"/>
          </w:tcPr>
          <w:p>
            <w:pPr>
              <w:jc w:val="left"/>
            </w:pPr>
            <w:r/>
            <w:r>
              <w:rPr>
                <w:rFonts w:ascii="Times New Roman" w:hAnsi="Times New Roman"/>
                <w:sz w:val="18"/>
              </w:rPr>
              <w:t>1</w:t>
            </w:r>
          </w:p>
        </w:tc>
        <w:tc>
          <w:tcPr>
            <w:tcW w:type="dxa" w:w="2275"/>
          </w:tcPr>
          <w:p>
            <w:pPr>
              <w:jc w:val="left"/>
            </w:pPr>
            <w:r/>
            <w:r>
              <w:rPr>
                <w:rFonts w:ascii="Times New Roman" w:hAnsi="Times New Roman"/>
                <w:sz w:val="18"/>
              </w:rPr>
              <w:t>Extintor multipropósito ABC de 4.5 kg, con soporte de pared y registro de inspección, para cumplimiento de normativa de protección civil.</w:t>
            </w:r>
          </w:p>
        </w:tc>
      </w:tr>
    </w:tbl>
    <w:p/>
    <w:p>
      <w:pPr>
        <w:jc w:val="center"/>
      </w:pPr>
      <w:r>
        <w:rPr>
          <w:rFonts w:ascii="Times New Roman" w:hAnsi="Times New Roman"/>
          <w:sz w:val="24"/>
        </w:rPr>
        <w:t>_______________</w:t>
      </w:r>
    </w:p>
    <w:p>
      <w:pPr>
        <w:spacing w:after="120" w:before="0"/>
        <w:jc w:val="both"/>
      </w:pPr>
      <w:r>
        <w:rPr>
          <w:rFonts w:ascii="Times New Roman" w:hAnsi="Times New Roman"/>
          <w:b w:val="0"/>
          <w:sz w:val="24"/>
        </w:rPr>
      </w:r>
    </w:p>
    <w:p>
      <w:pPr>
        <w:spacing w:after="480" w:before="0"/>
        <w:jc w:val="both"/>
      </w:pPr>
      <w:r>
        <w:rPr>
          <w:rFonts w:ascii="Times New Roman" w:hAnsi="Times New Roman"/>
          <w:b w:val="0"/>
          <w:sz w:val="24"/>
        </w:rPr>
        <w:t>Los comparecientes declaran, bajo juramento, que los activos descritos en el presente inventario pertenecen legítimamente a los fundadores de la Sociedad, se encuentran en buen estado de funcionamiento y son suficientes para el inicio de las actividades contempladas en el objeto social. Dichos activos serán transferidos a la Sociedad una vez esta quede legalmente constituida, quedando registrados en el libro de inventario conforme a lo dispuesto en el artículo 329 del Código de Comercio.</w:t>
      </w:r>
    </w:p>
    <w:p>
      <w:pPr>
        <w:spacing w:after="240" w:before="0"/>
        <w:jc w:val="both"/>
      </w:pPr>
      <w:r>
        <w:rPr>
          <w:rFonts w:ascii="Times New Roman" w:hAnsi="Times New Roman"/>
          <w:b w:val="0"/>
          <w:sz w:val="24"/>
        </w:rPr>
      </w:r>
    </w:p>
    <w:p>
      <w:pPr>
        <w:jc w:val="center"/>
      </w:pPr>
      <w:r>
        <w:rPr>
          <w:rFonts w:ascii="Times New Roman" w:hAnsi="Times New Roman"/>
          <w:b/>
          <w:sz w:val="24"/>
        </w:rPr>
        <w:t>SUSCRITO Y FIRMADO</w:t>
      </w:r>
    </w:p>
    <w:p>
      <w:pPr>
        <w:jc w:val="center"/>
      </w:pPr>
      <w:r>
        <w:rPr>
          <w:rFonts w:ascii="Times New Roman" w:hAnsi="Times New Roman"/>
          <w:b/>
          <w:sz w:val="24"/>
        </w:rPr>
        <w:t>POR LOS COMPARECIENTES</w:t>
      </w:r>
    </w:p>
    <w:p>
      <w:pPr>
        <w:spacing w:after="480" w:before="0"/>
        <w:jc w:val="both"/>
      </w:pPr>
      <w:r>
        <w:rPr>
          <w:rFonts w:ascii="Times New Roman" w:hAnsi="Times New Roman"/>
          <w:b w:val="0"/>
          <w:sz w:val="24"/>
        </w:rPr>
      </w:r>
    </w:p>
    <w:p>
      <w:pPr>
        <w:spacing w:after="240" w:before="0"/>
        <w:jc w:val="both"/>
      </w:pPr>
      <w:r>
        <w:rPr>
          <w:rFonts w:ascii="Times New Roman" w:hAnsi="Times New Roman"/>
          <w:b w:val="0"/>
          <w:sz w:val="24"/>
        </w:rPr>
      </w:r>
    </w:p>
    <w:p>
      <w:pPr>
        <w:jc w:val="center"/>
      </w:pPr>
      <w:r>
        <w:rPr>
          <w:rFonts w:ascii="Times New Roman" w:hAnsi="Times New Roman"/>
          <w:sz w:val="24"/>
        </w:rPr>
        <w:t>_________________________________</w:t>
      </w:r>
    </w:p>
    <w:p>
      <w:pPr>
        <w:jc w:val="center"/>
      </w:pPr>
      <w:r>
        <w:rPr>
          <w:rFonts w:ascii="Times New Roman" w:hAnsi="Times New Roman"/>
          <w:b/>
          <w:sz w:val="24"/>
        </w:rPr>
        <w:t>Sebastián Chacón Peña</w:t>
      </w:r>
    </w:p>
    <w:p>
      <w:pPr>
        <w:jc w:val="center"/>
      </w:pPr>
      <w:r>
        <w:rPr>
          <w:rFonts w:ascii="Times New Roman" w:hAnsi="Times New Roman"/>
          <w:sz w:val="24"/>
        </w:rPr>
        <w:t>V-27.333.855</w:t>
      </w:r>
    </w:p>
    <w:p>
      <w:pPr>
        <w:jc w:val="center"/>
      </w:pPr>
      <w:r>
        <w:rPr>
          <w:rFonts w:ascii="Times New Roman" w:hAnsi="Times New Roman"/>
          <w:sz w:val="24"/>
        </w:rPr>
        <w:t>Socio Fundador – Presidente</w:t>
      </w:r>
    </w:p>
    <w:p>
      <w:pPr>
        <w:spacing w:after="120" w:before="0"/>
        <w:jc w:val="both"/>
      </w:pPr>
      <w:r>
        <w:rPr>
          <w:rFonts w:ascii="Times New Roman" w:hAnsi="Times New Roman"/>
          <w:b w:val="0"/>
          <w:sz w:val="24"/>
        </w:rPr>
      </w:r>
    </w:p>
    <w:p>
      <w:pPr>
        <w:spacing w:after="240" w:before="0"/>
        <w:jc w:val="both"/>
      </w:pPr>
      <w:r>
        <w:rPr>
          <w:rFonts w:ascii="Times New Roman" w:hAnsi="Times New Roman"/>
          <w:b w:val="0"/>
          <w:sz w:val="24"/>
        </w:rPr>
      </w:r>
    </w:p>
    <w:p>
      <w:pPr>
        <w:jc w:val="center"/>
      </w:pPr>
      <w:r>
        <w:rPr>
          <w:rFonts w:ascii="Times New Roman" w:hAnsi="Times New Roman"/>
          <w:sz w:val="24"/>
        </w:rPr>
        <w:t>_________________________________</w:t>
      </w:r>
    </w:p>
    <w:p>
      <w:pPr>
        <w:jc w:val="center"/>
      </w:pPr>
      <w:r>
        <w:rPr>
          <w:rFonts w:ascii="Times New Roman" w:hAnsi="Times New Roman"/>
          <w:b/>
          <w:sz w:val="24"/>
        </w:rPr>
        <w:t>Nuryvel Antonieta Peña Gonzalez</w:t>
      </w:r>
    </w:p>
    <w:p>
      <w:pPr>
        <w:jc w:val="center"/>
      </w:pPr>
      <w:r>
        <w:rPr>
          <w:rFonts w:ascii="Times New Roman" w:hAnsi="Times New Roman"/>
          <w:sz w:val="24"/>
        </w:rPr>
        <w:t>V-10.505.412</w:t>
      </w:r>
    </w:p>
    <w:p>
      <w:pPr>
        <w:jc w:val="center"/>
      </w:pPr>
      <w:r>
        <w:rPr>
          <w:rFonts w:ascii="Times New Roman" w:hAnsi="Times New Roman"/>
          <w:sz w:val="24"/>
        </w:rPr>
        <w:t>Socia Fundadora – Vicepresidenta</w:t>
      </w:r>
    </w:p>
    <w:p>
      <w:pPr>
        <w:spacing w:after="120" w:before="0"/>
        <w:jc w:val="both"/>
      </w:pPr>
      <w:r>
        <w:rPr>
          <w:rFonts w:ascii="Times New Roman" w:hAnsi="Times New Roman"/>
          <w:b w:val="0"/>
          <w:sz w:val="24"/>
        </w:rPr>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