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lang w:val="en-US" w:eastAsia="zh-CN"/>
        </w:rPr>
      </w:pPr>
      <w:r>
        <w:rPr>
          <w:rFonts w:hint="eastAsia"/>
          <w:lang w:val="en-US" w:eastAsia="zh-CN"/>
        </w:rPr>
        <w:t xml:space="preserve">  </w:t>
      </w:r>
    </w:p>
    <w:p>
      <w:pPr>
        <w:jc w:val="center"/>
        <w:rPr>
          <w:rFonts w:hint="eastAsia"/>
          <w:lang w:val="en-US" w:eastAsia="zh-CN"/>
        </w:rPr>
      </w:pPr>
      <w:r>
        <w:rPr>
          <w:rFonts w:hint="eastAsia"/>
          <w:lang w:val="en-US" w:eastAsia="zh-CN"/>
        </w:rPr>
        <w:t xml:space="preserve"> </w:t>
      </w:r>
    </w:p>
    <w:sdt>
      <w:sdtPr>
        <w:id w:val="147456977"/>
        <w15:color w:val="DBDBDB"/>
        <w:docPartObj>
          <w:docPartGallery w:val="Table of Contents"/>
          <w:docPartUnique/>
        </w:docPartObj>
      </w:sdtPr>
      <w:sdtEndPr>
        <w:rPr>
          <w:sz w:val="24"/>
          <w:szCs w:val="24"/>
        </w:rPr>
      </w:sdtEndPr>
      <w:sdtContent>
        <w:p>
          <w:pPr>
            <w:jc w:val="center"/>
            <w:rPr>
              <w:b/>
              <w:bCs/>
              <w:sz w:val="32"/>
              <w:szCs w:val="32"/>
            </w:rPr>
          </w:pPr>
          <w:r>
            <w:rPr>
              <w:b/>
              <w:bCs/>
              <w:sz w:val="32"/>
              <w:szCs w:val="32"/>
            </w:rPr>
            <w:t>目  录</w:t>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ascii="Times New Roman" w:hAnsi="Times New Roman" w:cs="Times New Roman"/>
            </w:rPr>
            <w:fldChar w:fldCharType="begin"/>
          </w:r>
          <w:r>
            <w:rPr>
              <w:rFonts w:ascii="Times New Roman" w:hAnsi="Times New Roman" w:cs="Times New Roman"/>
            </w:rPr>
            <w:instrText xml:space="preserve">TOC \o "1-3" \h \u </w:instrText>
          </w:r>
          <w:r>
            <w:rPr>
              <w:rFonts w:ascii="Times New Roman" w:hAnsi="Times New Roman" w:cs="Times New Roman"/>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_Toc2005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研究概述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_Toc2005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_Toc27857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1.1研究背景及意义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_Toc27857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_Toc10915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1.2研究内容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_Toc10915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_Toc6412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1.2.1</w:t>
          </w:r>
          <w:r>
            <w:rPr>
              <w:rFonts w:hint="default" w:ascii="Times New Roman" w:hAnsi="Times New Roman" w:eastAsia="宋体" w:cs="Times New Roman"/>
              <w:sz w:val="24"/>
              <w:szCs w:val="24"/>
              <w:lang w:eastAsia="zh-CN"/>
            </w:rPr>
            <w:t>非贵/低贵</w:t>
          </w:r>
          <w:r>
            <w:rPr>
              <w:rFonts w:hint="default" w:ascii="Times New Roman" w:hAnsi="Times New Roman" w:eastAsia="宋体" w:cs="Times New Roman"/>
              <w:sz w:val="24"/>
              <w:szCs w:val="24"/>
            </w:rPr>
            <w:t>金属基纳米材料协同催化作用机理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_Toc6412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_Toc19365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1.2.2快速筛选高性能氢能关键催化材料方法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_Toc19365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_Toc6670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1.2.3高性能氢能催化材料的高通量智能筛选与精准设计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_Toc6670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_Toc7463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 研究技术路线</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_Toc7463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_Toc9740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1.3.1 建立氢能关键催化材料催化反应性能的理论评估方法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_Toc9740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_Toc32062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1.3.2 建立氢能关键催化材料的量子化学数据库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_Toc32062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_Toc26803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1.3.3 氢能关键催化材料的高通量智能筛选设计平台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_Toc26803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_Toc16166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 研究进展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_Toc16166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_Toc28040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2.1氢能关键催化材料催化析氢反应的设计与筛选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_Toc28040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_Toc6304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2.1.1 TiVC MXenes催化HER反应机理研究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_Toc6304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_Toc21076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2.1.2 理论设计及高通量筛选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_Toc21076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_Toc6960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2.2氢能关键材料量子化学数据库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_Toc6960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_Toc10720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2.2.1 计算数据库介绍</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_Toc10720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_Toc8307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2.2.2 文献库介绍</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_Toc8307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_Toc31110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2.2.3 材料数据库介绍</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_Toc31110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_Toc2522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 机器学习精准设计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_Toc2522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_Toc20584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2.3.1关键特征选取</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_Toc20584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_Toc30608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2.3.2 机器学习模型训练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_Toc30608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keepNext w:val="0"/>
            <w:keepLines w:val="0"/>
            <w:pageBreakBefore w:val="0"/>
            <w:widowControl w:val="0"/>
            <w:tabs>
              <w:tab w:val="right" w:leader="dot" w:pos="8306"/>
              <w:tab w:val="clear" w:pos="829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_Toc11599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2.3.3 机器学习模型预测及DFT验证</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_Toc11599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_Toc30560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 结论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_Toc30560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_Toc20598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_Toc20598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rPr>
              <w:sz w:val="24"/>
              <w:szCs w:val="24"/>
            </w:rPr>
          </w:pPr>
          <w:r>
            <w:rPr>
              <w:szCs w:val="24"/>
            </w:rPr>
            <w:fldChar w:fldCharType="end"/>
          </w:r>
        </w:p>
      </w:sdtContent>
    </w:sdt>
    <w:p>
      <w:pPr>
        <w:jc w:val="center"/>
        <w:rPr>
          <w:b/>
          <w:sz w:val="24"/>
          <w:szCs w:val="24"/>
        </w:rPr>
        <w:sectPr>
          <w:pgSz w:w="11906" w:h="16838"/>
          <w:pgMar w:top="1440" w:right="1800" w:bottom="1440" w:left="1800" w:header="851" w:footer="992" w:gutter="0"/>
          <w:pgNumType w:start="1"/>
          <w:cols w:space="720" w:num="1"/>
          <w:docGrid w:type="lines" w:linePitch="326" w:charSpace="0"/>
        </w:sectPr>
      </w:pPr>
      <w:bookmarkStart w:id="0" w:name="_Toc364172321"/>
      <w:bookmarkStart w:id="1" w:name="_Toc364165718"/>
      <w:bookmarkStart w:id="2" w:name="_Toc364163660"/>
      <w:bookmarkStart w:id="3" w:name="_Toc364172440"/>
      <w:bookmarkStart w:id="4" w:name="_Toc347485078"/>
      <w:bookmarkStart w:id="5" w:name="_Toc369075675"/>
      <w:bookmarkStart w:id="6" w:name="_Toc364166007"/>
    </w:p>
    <w:p>
      <w:pPr>
        <w:jc w:val="center"/>
        <w:rPr>
          <w:rFonts w:eastAsia="方正小标宋_GBK"/>
          <w:sz w:val="32"/>
          <w:szCs w:val="32"/>
        </w:rPr>
      </w:pPr>
      <w:r>
        <w:rPr>
          <w:rFonts w:eastAsia="仿宋"/>
          <w:b/>
          <w:sz w:val="32"/>
          <w:szCs w:val="32"/>
        </w:rPr>
        <w:t>插图清单</w:t>
      </w:r>
      <w:bookmarkEnd w:id="0"/>
      <w:bookmarkEnd w:id="1"/>
      <w:bookmarkEnd w:id="2"/>
      <w:bookmarkEnd w:id="3"/>
      <w:bookmarkEnd w:id="4"/>
      <w:bookmarkEnd w:id="5"/>
      <w:bookmarkEnd w:id="6"/>
    </w:p>
    <w:p>
      <w:pPr>
        <w:pStyle w:val="12"/>
        <w:tabs>
          <w:tab w:val="right" w:leader="dot" w:pos="8306"/>
        </w:tabs>
      </w:pPr>
      <w:r>
        <w:rPr>
          <w:rFonts w:eastAsia="黑体"/>
          <w:sz w:val="32"/>
          <w:szCs w:val="32"/>
        </w:rPr>
        <w:fldChar w:fldCharType="begin"/>
      </w:r>
      <w:r>
        <w:rPr>
          <w:rFonts w:eastAsia="黑体"/>
          <w:sz w:val="32"/>
          <w:szCs w:val="32"/>
        </w:rPr>
        <w:instrText xml:space="preserve">TOC \h \c "图"</w:instrText>
      </w:r>
      <w:r>
        <w:rPr>
          <w:rFonts w:eastAsia="黑体"/>
          <w:sz w:val="32"/>
          <w:szCs w:val="32"/>
        </w:rPr>
        <w:fldChar w:fldCharType="separate"/>
      </w:r>
      <w:r>
        <w:rPr>
          <w:rFonts w:eastAsia="黑体"/>
          <w:szCs w:val="32"/>
        </w:rPr>
        <w:fldChar w:fldCharType="begin"/>
      </w:r>
      <w:r>
        <w:rPr>
          <w:rFonts w:eastAsia="黑体"/>
          <w:szCs w:val="32"/>
        </w:rPr>
        <w:instrText xml:space="preserve"> HYPERLINK \l _Toc13854 </w:instrText>
      </w:r>
      <w:r>
        <w:rPr>
          <w:rFonts w:eastAsia="黑体"/>
          <w:szCs w:val="32"/>
        </w:rPr>
        <w:fldChar w:fldCharType="separate"/>
      </w:r>
      <w:r>
        <w:rPr>
          <w:rFonts w:ascii="Times New Roman" w:hAnsi="Times New Roman" w:eastAsia="宋体"/>
          <w:szCs w:val="21"/>
        </w:rPr>
        <w:t xml:space="preserve">图 </w:t>
      </w:r>
      <w:r>
        <w:t xml:space="preserve">1 </w:t>
      </w:r>
      <w:r>
        <w:rPr>
          <w:rFonts w:ascii="Times New Roman" w:hAnsi="Times New Roman" w:eastAsia="宋体"/>
          <w:szCs w:val="21"/>
        </w:rPr>
        <w:t xml:space="preserve"> </w:t>
      </w:r>
      <w:r>
        <w:rPr>
          <w:rFonts w:hint="eastAsia"/>
          <w:szCs w:val="21"/>
          <w:lang w:val="en-US" w:eastAsia="zh-CN"/>
        </w:rPr>
        <w:t xml:space="preserve"> </w:t>
      </w:r>
      <w:r>
        <w:rPr>
          <w:rFonts w:ascii="Times New Roman" w:hAnsi="Times New Roman" w:eastAsia="宋体"/>
          <w:szCs w:val="21"/>
        </w:rPr>
        <w:t>表面物种稳定性图</w:t>
      </w:r>
      <w:r>
        <w:tab/>
      </w:r>
      <w:r>
        <w:fldChar w:fldCharType="begin"/>
      </w:r>
      <w:r>
        <w:instrText xml:space="preserve"> PAGEREF _Toc13854 \h </w:instrText>
      </w:r>
      <w:r>
        <w:fldChar w:fldCharType="separate"/>
      </w:r>
      <w:r>
        <w:t>6</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_Toc17780 </w:instrText>
      </w:r>
      <w:r>
        <w:rPr>
          <w:rFonts w:eastAsia="黑体"/>
          <w:szCs w:val="32"/>
        </w:rPr>
        <w:fldChar w:fldCharType="separate"/>
      </w:r>
      <w:r>
        <w:rPr>
          <w:rFonts w:ascii="Times New Roman" w:hAnsi="Times New Roman" w:eastAsia="宋体"/>
          <w:szCs w:val="21"/>
        </w:rPr>
        <w:t>图</w:t>
      </w:r>
      <w:r>
        <w:t xml:space="preserve">2 </w:t>
      </w:r>
      <w:r>
        <w:rPr>
          <w:rFonts w:ascii="Times New Roman" w:hAnsi="Times New Roman" w:eastAsia="宋体"/>
          <w:szCs w:val="21"/>
        </w:rPr>
        <w:t xml:space="preserve"> </w:t>
      </w:r>
      <w:r>
        <w:rPr>
          <w:rFonts w:hint="eastAsia"/>
          <w:szCs w:val="21"/>
          <w:lang w:val="en-US" w:eastAsia="zh-CN"/>
        </w:rPr>
        <w:t xml:space="preserve">  </w:t>
      </w:r>
      <w:r>
        <w:rPr>
          <w:rFonts w:ascii="Times New Roman" w:hAnsi="Times New Roman" w:eastAsia="宋体"/>
          <w:bCs/>
          <w:szCs w:val="21"/>
        </w:rPr>
        <w:t>TiVCO</w:t>
      </w:r>
      <w:r>
        <w:rPr>
          <w:rFonts w:ascii="Times New Roman" w:hAnsi="Times New Roman" w:eastAsia="宋体"/>
          <w:bCs/>
          <w:szCs w:val="21"/>
          <w:vertAlign w:val="subscript"/>
        </w:rPr>
        <w:t>2</w:t>
      </w:r>
      <w:r>
        <w:rPr>
          <w:rFonts w:ascii="Times New Roman" w:hAnsi="Times New Roman" w:eastAsia="宋体"/>
          <w:bCs/>
          <w:szCs w:val="21"/>
        </w:rPr>
        <w:t>结构示意图</w:t>
      </w:r>
      <w:r>
        <w:tab/>
      </w:r>
      <w:r>
        <w:fldChar w:fldCharType="begin"/>
      </w:r>
      <w:r>
        <w:instrText xml:space="preserve"> PAGEREF _Toc17780 \h </w:instrText>
      </w:r>
      <w:r>
        <w:fldChar w:fldCharType="separate"/>
      </w:r>
      <w:r>
        <w:t>7</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_Toc31100 </w:instrText>
      </w:r>
      <w:r>
        <w:rPr>
          <w:rFonts w:eastAsia="黑体"/>
          <w:szCs w:val="32"/>
        </w:rPr>
        <w:fldChar w:fldCharType="separate"/>
      </w:r>
      <w:r>
        <w:rPr>
          <w:rFonts w:ascii="Times New Roman" w:hAnsi="Times New Roman" w:eastAsia="宋体"/>
          <w:szCs w:val="21"/>
        </w:rPr>
        <w:t xml:space="preserve">图 </w:t>
      </w:r>
      <w:r>
        <w:t xml:space="preserve">3 </w:t>
      </w:r>
      <w:r>
        <w:rPr>
          <w:rFonts w:hint="eastAsia"/>
          <w:lang w:val="en-US" w:eastAsia="zh-CN"/>
        </w:rPr>
        <w:t xml:space="preserve">  </w:t>
      </w:r>
      <w:r>
        <w:rPr>
          <w:rFonts w:ascii="Times New Roman" w:hAnsi="Times New Roman" w:eastAsia="宋体"/>
          <w:szCs w:val="21"/>
        </w:rPr>
        <w:t>非金属掺杂位点及结合能图</w:t>
      </w:r>
      <w:r>
        <w:tab/>
      </w:r>
      <w:r>
        <w:fldChar w:fldCharType="begin"/>
      </w:r>
      <w:r>
        <w:instrText xml:space="preserve"> PAGEREF _Toc31100 \h </w:instrText>
      </w:r>
      <w:r>
        <w:fldChar w:fldCharType="separate"/>
      </w:r>
      <w:r>
        <w:t>7</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_Toc19585 </w:instrText>
      </w:r>
      <w:r>
        <w:rPr>
          <w:rFonts w:eastAsia="黑体"/>
          <w:szCs w:val="32"/>
        </w:rPr>
        <w:fldChar w:fldCharType="separate"/>
      </w:r>
      <w:r>
        <w:rPr>
          <w:rFonts w:ascii="Times New Roman" w:hAnsi="Times New Roman" w:eastAsia="宋体"/>
          <w:szCs w:val="21"/>
        </w:rPr>
        <w:t xml:space="preserve">图 </w:t>
      </w:r>
      <w:r>
        <w:t xml:space="preserve">4 </w:t>
      </w:r>
      <w:r>
        <w:rPr>
          <w:rFonts w:ascii="Times New Roman" w:hAnsi="Times New Roman" w:eastAsia="宋体"/>
          <w:szCs w:val="21"/>
        </w:rPr>
        <w:t xml:space="preserve"> </w:t>
      </w:r>
      <w:r>
        <w:rPr>
          <w:rFonts w:hint="eastAsia"/>
          <w:szCs w:val="21"/>
          <w:lang w:val="en-US" w:eastAsia="zh-CN"/>
        </w:rPr>
        <w:t xml:space="preserve"> </w:t>
      </w:r>
      <w:r>
        <w:rPr>
          <w:rFonts w:ascii="Times New Roman" w:hAnsi="Times New Roman" w:eastAsia="宋体"/>
          <w:szCs w:val="21"/>
        </w:rPr>
        <w:t>金属掺杂位点和氢吸附位点及自由能图</w:t>
      </w:r>
      <w:r>
        <w:tab/>
      </w:r>
      <w:r>
        <w:fldChar w:fldCharType="begin"/>
      </w:r>
      <w:r>
        <w:instrText xml:space="preserve"> PAGEREF _Toc19585 \h </w:instrText>
      </w:r>
      <w:r>
        <w:fldChar w:fldCharType="separate"/>
      </w:r>
      <w:r>
        <w:t>8</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_Toc21726 </w:instrText>
      </w:r>
      <w:r>
        <w:rPr>
          <w:rFonts w:eastAsia="黑体"/>
          <w:szCs w:val="32"/>
        </w:rPr>
        <w:fldChar w:fldCharType="separate"/>
      </w:r>
      <w:r>
        <w:rPr>
          <w:rFonts w:ascii="Times New Roman" w:hAnsi="Times New Roman" w:eastAsia="宋体"/>
          <w:szCs w:val="21"/>
        </w:rPr>
        <w:t xml:space="preserve">图 </w:t>
      </w:r>
      <w:r>
        <w:t xml:space="preserve">5 </w:t>
      </w:r>
      <w:r>
        <w:rPr>
          <w:rFonts w:hint="eastAsia"/>
          <w:lang w:val="en-US" w:eastAsia="zh-CN"/>
        </w:rPr>
        <w:t xml:space="preserve">  </w:t>
      </w:r>
      <w:r>
        <w:rPr>
          <w:rFonts w:ascii="Times New Roman" w:hAnsi="Times New Roman" w:eastAsia="宋体"/>
          <w:szCs w:val="21"/>
        </w:rPr>
        <w:t>改性TiVCO</w:t>
      </w:r>
      <w:r>
        <w:rPr>
          <w:rFonts w:ascii="Times New Roman" w:hAnsi="Times New Roman" w:eastAsia="宋体"/>
          <w:szCs w:val="21"/>
          <w:vertAlign w:val="subscript"/>
        </w:rPr>
        <w:t>2</w:t>
      </w:r>
      <w:r>
        <w:rPr>
          <w:rFonts w:ascii="Times New Roman" w:hAnsi="Times New Roman" w:eastAsia="宋体"/>
          <w:szCs w:val="21"/>
        </w:rPr>
        <w:t>结构及氢吸附位点图</w:t>
      </w:r>
      <w:r>
        <w:tab/>
      </w:r>
      <w:r>
        <w:fldChar w:fldCharType="begin"/>
      </w:r>
      <w:r>
        <w:instrText xml:space="preserve"> PAGEREF _Toc21726 \h </w:instrText>
      </w:r>
      <w:r>
        <w:fldChar w:fldCharType="separate"/>
      </w:r>
      <w:r>
        <w:t>8</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_Toc4867 </w:instrText>
      </w:r>
      <w:r>
        <w:rPr>
          <w:rFonts w:eastAsia="黑体"/>
          <w:szCs w:val="32"/>
        </w:rPr>
        <w:fldChar w:fldCharType="separate"/>
      </w:r>
      <w:r>
        <w:rPr>
          <w:rFonts w:ascii="Times New Roman" w:hAnsi="Times New Roman" w:eastAsia="宋体"/>
          <w:szCs w:val="21"/>
        </w:rPr>
        <w:t xml:space="preserve">图 </w:t>
      </w:r>
      <w:r>
        <w:t xml:space="preserve">6 </w:t>
      </w:r>
      <w:r>
        <w:rPr>
          <w:rFonts w:ascii="Times New Roman" w:hAnsi="Times New Roman" w:eastAsia="宋体"/>
          <w:szCs w:val="21"/>
        </w:rPr>
        <w:t xml:space="preserve"> </w:t>
      </w:r>
      <w:r>
        <w:rPr>
          <w:rFonts w:hint="eastAsia"/>
          <w:szCs w:val="21"/>
          <w:lang w:val="en-US" w:eastAsia="zh-CN"/>
        </w:rPr>
        <w:t xml:space="preserve"> </w:t>
      </w:r>
      <w:r>
        <w:rPr>
          <w:rFonts w:ascii="Times New Roman" w:hAnsi="Times New Roman" w:eastAsia="宋体"/>
          <w:szCs w:val="21"/>
        </w:rPr>
        <w:t>过渡金属原子与TM-NM-TiVCO</w:t>
      </w:r>
      <w:r>
        <w:rPr>
          <w:rFonts w:ascii="Times New Roman" w:hAnsi="Times New Roman" w:eastAsia="宋体"/>
          <w:szCs w:val="21"/>
          <w:vertAlign w:val="subscript"/>
        </w:rPr>
        <w:t>2</w:t>
      </w:r>
      <w:r>
        <w:rPr>
          <w:rFonts w:ascii="Times New Roman" w:hAnsi="Times New Roman" w:eastAsia="宋体"/>
          <w:szCs w:val="21"/>
        </w:rPr>
        <w:t>结合能图</w:t>
      </w:r>
      <w:r>
        <w:tab/>
      </w:r>
      <w:r>
        <w:fldChar w:fldCharType="begin"/>
      </w:r>
      <w:r>
        <w:instrText xml:space="preserve"> PAGEREF _Toc4867 \h </w:instrText>
      </w:r>
      <w:r>
        <w:fldChar w:fldCharType="separate"/>
      </w:r>
      <w:r>
        <w:t>9</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_Toc7402 </w:instrText>
      </w:r>
      <w:r>
        <w:rPr>
          <w:rFonts w:eastAsia="黑体"/>
          <w:szCs w:val="32"/>
        </w:rPr>
        <w:fldChar w:fldCharType="separate"/>
      </w:r>
      <w:r>
        <w:rPr>
          <w:rFonts w:ascii="Times New Roman" w:hAnsi="Times New Roman" w:eastAsia="宋体"/>
          <w:szCs w:val="21"/>
        </w:rPr>
        <w:t xml:space="preserve">图 </w:t>
      </w:r>
      <w:r>
        <w:t xml:space="preserve">7 </w:t>
      </w:r>
      <w:r>
        <w:rPr>
          <w:rFonts w:hint="eastAsia"/>
          <w:lang w:val="en-US" w:eastAsia="zh-CN"/>
        </w:rPr>
        <w:t xml:space="preserve">  </w:t>
      </w:r>
      <w:r>
        <w:rPr>
          <w:rFonts w:ascii="Times New Roman" w:hAnsi="Times New Roman" w:eastAsia="宋体"/>
          <w:kern w:val="0"/>
          <w:szCs w:val="21"/>
          <w:lang w:bidi="ar"/>
        </w:rPr>
        <w:t>氢吸附自由能</w:t>
      </w:r>
      <w:r>
        <w:rPr>
          <w:rFonts w:hint="eastAsia" w:ascii="Times New Roman" w:hAnsi="Times New Roman" w:eastAsia="宋体"/>
          <w:kern w:val="0"/>
          <w:szCs w:val="21"/>
          <w:lang w:bidi="ar"/>
        </w:rPr>
        <w:t>（</w:t>
      </w:r>
      <w:r>
        <w:rPr>
          <w:rFonts w:ascii="Times New Roman" w:hAnsi="Times New Roman" w:eastAsia="宋体"/>
          <w:kern w:val="0"/>
          <w:szCs w:val="21"/>
          <w:lang w:bidi="ar"/>
        </w:rPr>
        <w:t>ΔG</w:t>
      </w:r>
      <w:r>
        <w:rPr>
          <w:rFonts w:ascii="Times New Roman" w:hAnsi="Times New Roman" w:eastAsia="宋体"/>
          <w:kern w:val="0"/>
          <w:szCs w:val="21"/>
          <w:vertAlign w:val="subscript"/>
          <w:lang w:bidi="ar"/>
        </w:rPr>
        <w:t>H</w:t>
      </w:r>
      <w:r>
        <w:rPr>
          <w:rFonts w:hint="eastAsia" w:ascii="Times New Roman" w:hAnsi="Times New Roman" w:eastAsia="宋体"/>
          <w:kern w:val="0"/>
          <w:szCs w:val="21"/>
          <w:lang w:bidi="ar"/>
        </w:rPr>
        <w:t>）</w:t>
      </w:r>
      <w:r>
        <w:rPr>
          <w:rFonts w:ascii="Times New Roman" w:hAnsi="Times New Roman" w:eastAsia="宋体"/>
          <w:kern w:val="0"/>
          <w:szCs w:val="21"/>
          <w:lang w:bidi="ar"/>
        </w:rPr>
        <w:t>和电流密度分布图</w:t>
      </w:r>
      <w:r>
        <w:tab/>
      </w:r>
      <w:r>
        <w:fldChar w:fldCharType="begin"/>
      </w:r>
      <w:r>
        <w:instrText xml:space="preserve"> PAGEREF _Toc7402 \h </w:instrText>
      </w:r>
      <w:r>
        <w:fldChar w:fldCharType="separate"/>
      </w:r>
      <w:r>
        <w:t>10</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_Toc31209 </w:instrText>
      </w:r>
      <w:r>
        <w:rPr>
          <w:rFonts w:eastAsia="黑体"/>
          <w:szCs w:val="32"/>
        </w:rPr>
        <w:fldChar w:fldCharType="separate"/>
      </w:r>
      <w:r>
        <w:rPr>
          <w:rFonts w:ascii="Times New Roman" w:hAnsi="Times New Roman" w:eastAsia="宋体"/>
          <w:szCs w:val="21"/>
        </w:rPr>
        <w:t xml:space="preserve">图 </w:t>
      </w:r>
      <w:r>
        <w:t xml:space="preserve">8 </w:t>
      </w:r>
      <w:r>
        <w:rPr>
          <w:rFonts w:hint="eastAsia"/>
        </w:rPr>
        <w:t xml:space="preserve"> </w:t>
      </w:r>
      <w:r>
        <w:rPr>
          <w:rFonts w:hint="eastAsia"/>
          <w:lang w:val="en-US" w:eastAsia="zh-CN"/>
        </w:rPr>
        <w:t xml:space="preserve"> </w:t>
      </w:r>
      <w:r>
        <w:rPr>
          <w:rFonts w:ascii="Times New Roman" w:hAnsi="Times New Roman" w:eastAsia="宋体"/>
          <w:szCs w:val="21"/>
        </w:rPr>
        <w:t>TM-B-TiVCO</w:t>
      </w:r>
      <w:r>
        <w:rPr>
          <w:rFonts w:ascii="Times New Roman" w:hAnsi="Times New Roman" w:eastAsia="宋体"/>
          <w:szCs w:val="21"/>
          <w:vertAlign w:val="subscript"/>
        </w:rPr>
        <w:t>2</w:t>
      </w:r>
      <w:r>
        <w:rPr>
          <w:rFonts w:ascii="Times New Roman" w:hAnsi="Times New Roman" w:eastAsia="宋体"/>
          <w:szCs w:val="21"/>
        </w:rPr>
        <w:t>态密度图</w:t>
      </w:r>
      <w:r>
        <w:tab/>
      </w:r>
      <w:r>
        <w:fldChar w:fldCharType="begin"/>
      </w:r>
      <w:r>
        <w:instrText xml:space="preserve"> PAGEREF _Toc31209 \h </w:instrText>
      </w:r>
      <w:r>
        <w:fldChar w:fldCharType="separate"/>
      </w:r>
      <w:r>
        <w:t>11</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_Toc23098 </w:instrText>
      </w:r>
      <w:r>
        <w:rPr>
          <w:rFonts w:eastAsia="黑体"/>
          <w:szCs w:val="32"/>
        </w:rPr>
        <w:fldChar w:fldCharType="separate"/>
      </w:r>
      <w:r>
        <w:rPr>
          <w:rFonts w:ascii="Times New Roman" w:hAnsi="Times New Roman" w:eastAsia="宋体"/>
          <w:szCs w:val="21"/>
        </w:rPr>
        <w:t xml:space="preserve">图 </w:t>
      </w:r>
      <w:r>
        <w:t xml:space="preserve">9 </w:t>
      </w:r>
      <w:r>
        <w:rPr>
          <w:rFonts w:ascii="Times New Roman" w:hAnsi="Times New Roman" w:eastAsia="宋体"/>
          <w:szCs w:val="21"/>
        </w:rPr>
        <w:t xml:space="preserve"> </w:t>
      </w:r>
      <w:r>
        <w:rPr>
          <w:rFonts w:hint="eastAsia"/>
          <w:szCs w:val="21"/>
          <w:lang w:val="en-US" w:eastAsia="zh-CN"/>
        </w:rPr>
        <w:t xml:space="preserve"> </w:t>
      </w:r>
      <w:r>
        <w:rPr>
          <w:rFonts w:ascii="Times New Roman" w:hAnsi="Times New Roman" w:eastAsia="宋体"/>
          <w:szCs w:val="21"/>
        </w:rPr>
        <w:t>数据库构建流程图</w:t>
      </w:r>
      <w:r>
        <w:tab/>
      </w:r>
      <w:r>
        <w:fldChar w:fldCharType="begin"/>
      </w:r>
      <w:r>
        <w:instrText xml:space="preserve"> PAGEREF _Toc23098 \h </w:instrText>
      </w:r>
      <w:r>
        <w:fldChar w:fldCharType="separate"/>
      </w:r>
      <w:r>
        <w:t>12</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_Toc28603 </w:instrText>
      </w:r>
      <w:r>
        <w:rPr>
          <w:rFonts w:eastAsia="黑体"/>
          <w:szCs w:val="32"/>
        </w:rPr>
        <w:fldChar w:fldCharType="separate"/>
      </w:r>
      <w:r>
        <w:rPr>
          <w:rFonts w:ascii="Times New Roman" w:hAnsi="Times New Roman" w:eastAsia="宋体"/>
          <w:szCs w:val="21"/>
        </w:rPr>
        <w:t xml:space="preserve">图 </w:t>
      </w:r>
      <w:r>
        <w:t xml:space="preserve">10 </w:t>
      </w:r>
      <w:r>
        <w:rPr>
          <w:rFonts w:hint="eastAsia"/>
          <w:lang w:val="en-US" w:eastAsia="zh-CN"/>
        </w:rPr>
        <w:t xml:space="preserve"> </w:t>
      </w:r>
      <w:r>
        <w:rPr>
          <w:rFonts w:ascii="Times New Roman" w:hAnsi="Times New Roman" w:eastAsia="宋体"/>
          <w:szCs w:val="21"/>
        </w:rPr>
        <w:t>部分计算数据库</w:t>
      </w:r>
      <w:r>
        <w:rPr>
          <w:rFonts w:hint="eastAsia" w:ascii="Times New Roman" w:hAnsi="Times New Roman" w:eastAsia="宋体"/>
          <w:szCs w:val="21"/>
        </w:rPr>
        <w:t>展示</w:t>
      </w:r>
      <w:r>
        <w:tab/>
      </w:r>
      <w:r>
        <w:fldChar w:fldCharType="begin"/>
      </w:r>
      <w:r>
        <w:instrText xml:space="preserve"> PAGEREF _Toc28603 \h </w:instrText>
      </w:r>
      <w:r>
        <w:fldChar w:fldCharType="separate"/>
      </w:r>
      <w:r>
        <w:t>13</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_Toc6576 </w:instrText>
      </w:r>
      <w:r>
        <w:rPr>
          <w:rFonts w:eastAsia="黑体"/>
          <w:szCs w:val="32"/>
        </w:rPr>
        <w:fldChar w:fldCharType="separate"/>
      </w:r>
      <w:r>
        <w:rPr>
          <w:rFonts w:ascii="Times New Roman" w:hAnsi="Times New Roman" w:eastAsia="宋体"/>
          <w:szCs w:val="21"/>
        </w:rPr>
        <w:t xml:space="preserve">图 </w:t>
      </w:r>
      <w:r>
        <w:t xml:space="preserve">11 </w:t>
      </w:r>
      <w:r>
        <w:rPr>
          <w:rFonts w:hint="eastAsia"/>
          <w:lang w:val="en-US" w:eastAsia="zh-CN"/>
        </w:rPr>
        <w:t xml:space="preserve"> </w:t>
      </w:r>
      <w:r>
        <w:rPr>
          <w:rFonts w:ascii="Times New Roman" w:hAnsi="Times New Roman" w:eastAsia="宋体"/>
          <w:szCs w:val="21"/>
        </w:rPr>
        <w:t>文献库数据展示</w:t>
      </w:r>
      <w:r>
        <w:tab/>
      </w:r>
      <w:r>
        <w:fldChar w:fldCharType="begin"/>
      </w:r>
      <w:r>
        <w:instrText xml:space="preserve"> PAGEREF _Toc6576 \h </w:instrText>
      </w:r>
      <w:r>
        <w:fldChar w:fldCharType="separate"/>
      </w:r>
      <w:r>
        <w:t>14</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_Toc25483 </w:instrText>
      </w:r>
      <w:r>
        <w:rPr>
          <w:rFonts w:eastAsia="黑体"/>
          <w:szCs w:val="32"/>
        </w:rPr>
        <w:fldChar w:fldCharType="separate"/>
      </w:r>
      <w:r>
        <w:rPr>
          <w:rFonts w:ascii="Times New Roman" w:hAnsi="Times New Roman" w:eastAsia="宋体"/>
          <w:szCs w:val="21"/>
        </w:rPr>
        <w:t xml:space="preserve">图 </w:t>
      </w:r>
      <w:r>
        <w:t xml:space="preserve">12 </w:t>
      </w:r>
      <w:r>
        <w:rPr>
          <w:rFonts w:hint="eastAsia"/>
          <w:lang w:val="en-US" w:eastAsia="zh-CN"/>
        </w:rPr>
        <w:t xml:space="preserve"> </w:t>
      </w:r>
      <w:r>
        <w:rPr>
          <w:rFonts w:ascii="Times New Roman" w:hAnsi="Times New Roman" w:eastAsia="宋体"/>
          <w:szCs w:val="21"/>
        </w:rPr>
        <w:t>文献PDF下载流程</w:t>
      </w:r>
      <w:r>
        <w:tab/>
      </w:r>
      <w:r>
        <w:fldChar w:fldCharType="begin"/>
      </w:r>
      <w:r>
        <w:instrText xml:space="preserve"> PAGEREF _Toc25483 \h </w:instrText>
      </w:r>
      <w:r>
        <w:fldChar w:fldCharType="separate"/>
      </w:r>
      <w:r>
        <w:t>14</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_Toc5897 </w:instrText>
      </w:r>
      <w:r>
        <w:rPr>
          <w:rFonts w:eastAsia="黑体"/>
          <w:szCs w:val="32"/>
        </w:rPr>
        <w:fldChar w:fldCharType="separate"/>
      </w:r>
      <w:r>
        <w:rPr>
          <w:rFonts w:ascii="Times New Roman" w:hAnsi="Times New Roman" w:eastAsia="宋体"/>
          <w:szCs w:val="21"/>
        </w:rPr>
        <w:t xml:space="preserve">图 </w:t>
      </w:r>
      <w:r>
        <w:t xml:space="preserve">13 </w:t>
      </w:r>
      <w:r>
        <w:rPr>
          <w:rFonts w:hint="eastAsia"/>
          <w:lang w:val="en-US" w:eastAsia="zh-CN"/>
        </w:rPr>
        <w:t xml:space="preserve"> </w:t>
      </w:r>
      <w:r>
        <w:rPr>
          <w:rFonts w:ascii="Times New Roman" w:hAnsi="Times New Roman" w:eastAsia="宋体"/>
          <w:szCs w:val="21"/>
        </w:rPr>
        <w:t>材料数据库关键词分类</w:t>
      </w:r>
      <w:r>
        <w:tab/>
      </w:r>
      <w:r>
        <w:fldChar w:fldCharType="begin"/>
      </w:r>
      <w:r>
        <w:instrText xml:space="preserve"> PAGEREF _Toc5897 \h </w:instrText>
      </w:r>
      <w:r>
        <w:fldChar w:fldCharType="separate"/>
      </w:r>
      <w:r>
        <w:t>16</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_Toc25640 </w:instrText>
      </w:r>
      <w:r>
        <w:rPr>
          <w:rFonts w:eastAsia="黑体"/>
          <w:szCs w:val="32"/>
        </w:rPr>
        <w:fldChar w:fldCharType="separate"/>
      </w:r>
      <w:r>
        <w:rPr>
          <w:rFonts w:ascii="Times New Roman" w:hAnsi="Times New Roman" w:eastAsia="宋体"/>
          <w:szCs w:val="21"/>
        </w:rPr>
        <w:t xml:space="preserve">图 </w:t>
      </w:r>
      <w:r>
        <w:t xml:space="preserve">14 </w:t>
      </w:r>
      <w:r>
        <w:rPr>
          <w:rFonts w:hint="eastAsia"/>
          <w:lang w:val="en-US" w:eastAsia="zh-CN"/>
        </w:rPr>
        <w:t xml:space="preserve"> </w:t>
      </w:r>
      <w:r>
        <w:rPr>
          <w:rFonts w:ascii="Times New Roman" w:hAnsi="Times New Roman" w:eastAsia="宋体"/>
          <w:szCs w:val="21"/>
        </w:rPr>
        <w:t>PDF文献提取图片流程</w:t>
      </w:r>
      <w:r>
        <w:tab/>
      </w:r>
      <w:r>
        <w:fldChar w:fldCharType="begin"/>
      </w:r>
      <w:r>
        <w:instrText xml:space="preserve"> PAGEREF _Toc25640 \h </w:instrText>
      </w:r>
      <w:r>
        <w:fldChar w:fldCharType="separate"/>
      </w:r>
      <w:r>
        <w:t>17</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_Toc30133 </w:instrText>
      </w:r>
      <w:r>
        <w:rPr>
          <w:rFonts w:eastAsia="黑体"/>
          <w:szCs w:val="32"/>
        </w:rPr>
        <w:fldChar w:fldCharType="separate"/>
      </w:r>
      <w:r>
        <w:rPr>
          <w:rFonts w:ascii="Times New Roman" w:hAnsi="Times New Roman" w:eastAsia="宋体"/>
          <w:szCs w:val="21"/>
        </w:rPr>
        <w:t xml:space="preserve">图 </w:t>
      </w:r>
      <w:r>
        <w:t xml:space="preserve">15 </w:t>
      </w:r>
      <w:r>
        <w:rPr>
          <w:rFonts w:hint="eastAsia"/>
          <w:lang w:val="en-US" w:eastAsia="zh-CN"/>
        </w:rPr>
        <w:t xml:space="preserve"> </w:t>
      </w:r>
      <w:r>
        <w:rPr>
          <w:rFonts w:ascii="Times New Roman" w:hAnsi="Times New Roman" w:eastAsia="宋体"/>
          <w:szCs w:val="21"/>
        </w:rPr>
        <w:t>部分材料数据库展示</w:t>
      </w:r>
      <w:r>
        <w:tab/>
      </w:r>
      <w:r>
        <w:fldChar w:fldCharType="begin"/>
      </w:r>
      <w:r>
        <w:instrText xml:space="preserve"> PAGEREF _Toc30133 \h </w:instrText>
      </w:r>
      <w:r>
        <w:fldChar w:fldCharType="separate"/>
      </w:r>
      <w:r>
        <w:t>17</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_Toc16276 </w:instrText>
      </w:r>
      <w:r>
        <w:rPr>
          <w:rFonts w:eastAsia="黑体"/>
          <w:szCs w:val="32"/>
        </w:rPr>
        <w:fldChar w:fldCharType="separate"/>
      </w:r>
      <w:r>
        <w:rPr>
          <w:rFonts w:ascii="Times New Roman" w:hAnsi="Times New Roman" w:eastAsia="宋体"/>
          <w:szCs w:val="21"/>
        </w:rPr>
        <w:t xml:space="preserve">图 </w:t>
      </w:r>
      <w:r>
        <w:t xml:space="preserve">16 </w:t>
      </w:r>
      <w:r>
        <w:rPr>
          <w:rFonts w:ascii="Times New Roman" w:hAnsi="Times New Roman" w:eastAsia="宋体"/>
          <w:szCs w:val="21"/>
        </w:rPr>
        <w:t xml:space="preserve"> </w:t>
      </w:r>
      <w:r>
        <w:rPr>
          <w:rFonts w:ascii="Times New Roman" w:hAnsi="Times New Roman" w:eastAsia="宋体"/>
          <w:kern w:val="0"/>
          <w:szCs w:val="21"/>
          <w:lang w:bidi="ar"/>
        </w:rPr>
        <w:t>机器学习流程图</w:t>
      </w:r>
      <w:r>
        <w:tab/>
      </w:r>
      <w:r>
        <w:fldChar w:fldCharType="begin"/>
      </w:r>
      <w:r>
        <w:instrText xml:space="preserve"> PAGEREF _Toc16276 \h </w:instrText>
      </w:r>
      <w:r>
        <w:fldChar w:fldCharType="separate"/>
      </w:r>
      <w:r>
        <w:t>19</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_Toc31718 </w:instrText>
      </w:r>
      <w:r>
        <w:rPr>
          <w:rFonts w:eastAsia="黑体"/>
          <w:szCs w:val="32"/>
        </w:rPr>
        <w:fldChar w:fldCharType="separate"/>
      </w:r>
      <w:r>
        <w:rPr>
          <w:rFonts w:ascii="Times New Roman" w:hAnsi="Times New Roman" w:eastAsia="宋体"/>
          <w:szCs w:val="21"/>
        </w:rPr>
        <w:t xml:space="preserve">图 </w:t>
      </w:r>
      <w:r>
        <w:t xml:space="preserve">17 </w:t>
      </w:r>
      <w:r>
        <w:rPr>
          <w:rFonts w:ascii="Times New Roman" w:hAnsi="Times New Roman" w:eastAsia="宋体"/>
          <w:szCs w:val="21"/>
        </w:rPr>
        <w:t xml:space="preserve"> XGBoost代码展示</w:t>
      </w:r>
      <w:r>
        <w:tab/>
      </w:r>
      <w:r>
        <w:fldChar w:fldCharType="begin"/>
      </w:r>
      <w:r>
        <w:instrText xml:space="preserve"> PAGEREF _Toc31718 \h </w:instrText>
      </w:r>
      <w:r>
        <w:fldChar w:fldCharType="separate"/>
      </w:r>
      <w:r>
        <w:t>20</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_Toc14008 </w:instrText>
      </w:r>
      <w:r>
        <w:rPr>
          <w:rFonts w:eastAsia="黑体"/>
          <w:szCs w:val="32"/>
        </w:rPr>
        <w:fldChar w:fldCharType="separate"/>
      </w:r>
      <w:r>
        <w:rPr>
          <w:rFonts w:ascii="Times New Roman" w:hAnsi="Times New Roman" w:eastAsia="宋体"/>
          <w:szCs w:val="21"/>
        </w:rPr>
        <w:t xml:space="preserve">图 </w:t>
      </w:r>
      <w:r>
        <w:t xml:space="preserve">18 </w:t>
      </w:r>
      <w:r>
        <w:rPr>
          <w:rFonts w:hint="eastAsia"/>
          <w:lang w:val="en-US" w:eastAsia="zh-CN"/>
        </w:rPr>
        <w:t xml:space="preserve"> </w:t>
      </w:r>
      <w:r>
        <w:rPr>
          <w:rFonts w:ascii="Times New Roman" w:hAnsi="Times New Roman" w:eastAsia="宋体"/>
          <w:szCs w:val="21"/>
        </w:rPr>
        <w:t>相关性及特征重要性排序</w:t>
      </w:r>
      <w:r>
        <w:tab/>
      </w:r>
      <w:r>
        <w:fldChar w:fldCharType="begin"/>
      </w:r>
      <w:r>
        <w:instrText xml:space="preserve"> PAGEREF _Toc14008 \h </w:instrText>
      </w:r>
      <w:r>
        <w:fldChar w:fldCharType="separate"/>
      </w:r>
      <w:r>
        <w:t>22</w:t>
      </w:r>
      <w:r>
        <w:fldChar w:fldCharType="end"/>
      </w:r>
      <w:r>
        <w:rPr>
          <w:rFonts w:eastAsia="黑体"/>
          <w:szCs w:val="32"/>
        </w:rPr>
        <w:fldChar w:fldCharType="end"/>
      </w:r>
    </w:p>
    <w:p>
      <w:pPr>
        <w:pStyle w:val="12"/>
        <w:tabs>
          <w:tab w:val="right" w:leader="dot" w:pos="8306"/>
        </w:tabs>
      </w:pPr>
      <w:r>
        <w:rPr>
          <w:rFonts w:eastAsia="黑体"/>
          <w:szCs w:val="32"/>
        </w:rPr>
        <w:fldChar w:fldCharType="begin"/>
      </w:r>
      <w:r>
        <w:rPr>
          <w:rFonts w:eastAsia="黑体"/>
          <w:szCs w:val="32"/>
        </w:rPr>
        <w:instrText xml:space="preserve"> HYPERLINK \l _Toc1000 </w:instrText>
      </w:r>
      <w:r>
        <w:rPr>
          <w:rFonts w:eastAsia="黑体"/>
          <w:szCs w:val="32"/>
        </w:rPr>
        <w:fldChar w:fldCharType="separate"/>
      </w:r>
      <w:r>
        <w:rPr>
          <w:rFonts w:ascii="Times New Roman" w:hAnsi="Times New Roman" w:eastAsia="宋体"/>
          <w:szCs w:val="21"/>
        </w:rPr>
        <w:t xml:space="preserve">图 </w:t>
      </w:r>
      <w:r>
        <w:t xml:space="preserve">19 </w:t>
      </w:r>
      <w:r>
        <w:rPr>
          <w:rFonts w:hint="eastAsia"/>
          <w:lang w:val="en-US" w:eastAsia="zh-CN"/>
        </w:rPr>
        <w:t xml:space="preserve"> </w:t>
      </w:r>
      <w:r>
        <w:rPr>
          <w:rFonts w:ascii="Times New Roman" w:hAnsi="Times New Roman" w:eastAsia="宋体"/>
          <w:kern w:val="0"/>
          <w:szCs w:val="21"/>
          <w:lang w:bidi="ar"/>
        </w:rPr>
        <w:t>不同算法模型的混淆矩阵及ROC曲线</w:t>
      </w:r>
      <w:r>
        <w:tab/>
      </w:r>
      <w:r>
        <w:fldChar w:fldCharType="begin"/>
      </w:r>
      <w:r>
        <w:instrText xml:space="preserve"> PAGEREF _Toc1000 \h </w:instrText>
      </w:r>
      <w:r>
        <w:fldChar w:fldCharType="separate"/>
      </w:r>
      <w:r>
        <w:t>23</w:t>
      </w:r>
      <w:r>
        <w:fldChar w:fldCharType="end"/>
      </w:r>
      <w:r>
        <w:rPr>
          <w:rFonts w:eastAsia="黑体"/>
          <w:szCs w:val="32"/>
        </w:rPr>
        <w:fldChar w:fldCharType="end"/>
      </w:r>
    </w:p>
    <w:p>
      <w:pPr>
        <w:ind w:firstLine="640"/>
        <w:jc w:val="center"/>
        <w:rPr>
          <w:rFonts w:eastAsia="黑体"/>
          <w:sz w:val="32"/>
          <w:szCs w:val="32"/>
        </w:rPr>
      </w:pPr>
      <w:r>
        <w:rPr>
          <w:rFonts w:eastAsia="黑体"/>
          <w:szCs w:val="32"/>
        </w:rPr>
        <w:fldChar w:fldCharType="end"/>
      </w:r>
    </w:p>
    <w:p>
      <w:pPr>
        <w:pStyle w:val="2"/>
        <w:spacing w:after="163"/>
        <w:rPr>
          <w:rStyle w:val="20"/>
          <w:szCs w:val="32"/>
        </w:rPr>
        <w:sectPr>
          <w:footerReference r:id="rId3" w:type="default"/>
          <w:pgSz w:w="11906" w:h="16838"/>
          <w:pgMar w:top="1440" w:right="1800" w:bottom="1440" w:left="1800" w:header="851" w:footer="992" w:gutter="0"/>
          <w:pgNumType w:start="1"/>
          <w:cols w:space="720" w:num="1"/>
          <w:docGrid w:type="lines" w:linePitch="326" w:charSpace="0"/>
        </w:sectPr>
      </w:pPr>
    </w:p>
    <w:p>
      <w:pPr>
        <w:pStyle w:val="2"/>
        <w:spacing w:after="163"/>
        <w:rPr>
          <w:rStyle w:val="20"/>
          <w:szCs w:val="32"/>
        </w:rPr>
      </w:pPr>
      <w:bookmarkStart w:id="7" w:name="_Toc2005"/>
      <w:r>
        <w:rPr>
          <w:rStyle w:val="20"/>
          <w:szCs w:val="32"/>
        </w:rPr>
        <w:t>1 研究概述</w:t>
      </w:r>
      <w:bookmarkEnd w:id="7"/>
    </w:p>
    <w:p>
      <w:pPr>
        <w:pStyle w:val="3"/>
        <w:spacing w:after="163"/>
        <w:rPr>
          <w:rStyle w:val="20"/>
          <w:rFonts w:ascii="Times New Roman" w:hAnsi="Times New Roman"/>
          <w:szCs w:val="28"/>
        </w:rPr>
      </w:pPr>
      <w:bookmarkStart w:id="8" w:name="_Toc27857"/>
      <w:r>
        <w:rPr>
          <w:rStyle w:val="20"/>
          <w:rFonts w:ascii="Times New Roman" w:hAnsi="Times New Roman"/>
          <w:szCs w:val="28"/>
        </w:rPr>
        <w:t>1.1研究背景及意义</w:t>
      </w:r>
      <w:bookmarkEnd w:id="8"/>
    </w:p>
    <w:p>
      <w:pPr>
        <w:spacing w:line="360" w:lineRule="auto"/>
        <w:ind w:firstLine="480" w:firstLineChars="200"/>
        <w:rPr>
          <w:rStyle w:val="20"/>
          <w:bCs/>
          <w:sz w:val="24"/>
          <w:szCs w:val="24"/>
        </w:rPr>
      </w:pPr>
      <w:r>
        <w:rPr>
          <w:rStyle w:val="20"/>
          <w:bCs/>
          <w:sz w:val="24"/>
          <w:szCs w:val="24"/>
        </w:rPr>
        <w:t>随着“十四五”电力规划的实施，我国正加速能源清洁化转型进程，脱碳减排需求日益增长，在“双碳”战略指导下，“十四五”期间风电、氢能等可再生能源将迎来爆发式增长，可再生能源将逐步替代传统化石能源占据能源领域主导地位。氢能是一种来源丰富、绿色低碳、应用广泛的二次能源，正逐步成为全球能源转型发展的重要载体之一。</w:t>
      </w:r>
    </w:p>
    <w:p>
      <w:pPr>
        <w:spacing w:line="360" w:lineRule="auto"/>
        <w:ind w:firstLine="480" w:firstLineChars="200"/>
        <w:rPr>
          <w:rStyle w:val="20"/>
          <w:bCs/>
          <w:sz w:val="24"/>
          <w:szCs w:val="24"/>
        </w:rPr>
      </w:pPr>
      <w:r>
        <w:rPr>
          <w:rStyle w:val="20"/>
          <w:bCs/>
          <w:sz w:val="24"/>
          <w:szCs w:val="24"/>
        </w:rPr>
        <w:t>氢能材料催化剂存在活性中心种类复杂多样、不同电极反应中作用机理不明确、材料微结构与性能之间的关系不清楚、能源材料数据库缺失、高效筛选困难等问题，制约着氢能的发展。探索适用不同反应的活性中心结构与催化机制，建立交互式、可视化的能源材料数据库并实现高性能氢能催化材料的智能设计与高效筛选是关键科学问题之一。基于不同电极反应过程对</w:t>
      </w:r>
      <w:r>
        <w:rPr>
          <w:rStyle w:val="20"/>
          <w:rFonts w:hint="eastAsia"/>
          <w:bCs/>
          <w:sz w:val="24"/>
          <w:szCs w:val="24"/>
          <w:lang w:eastAsia="zh-CN"/>
        </w:rPr>
        <w:t>非贵/低贵</w:t>
      </w:r>
      <w:r>
        <w:rPr>
          <w:rStyle w:val="20"/>
          <w:bCs/>
          <w:sz w:val="24"/>
          <w:szCs w:val="24"/>
        </w:rPr>
        <w:t>金属催化剂表界面功能结构和多维分布的不同要求，拟通过密度泛函方法与过渡态理论构建高活性结构模型，认识催化剂构效关系，并使用机器学习辅助实现</w:t>
      </w:r>
      <w:r>
        <w:rPr>
          <w:rStyle w:val="20"/>
          <w:rFonts w:hint="eastAsia"/>
          <w:bCs/>
          <w:sz w:val="24"/>
          <w:szCs w:val="24"/>
          <w:lang w:eastAsia="zh-CN"/>
        </w:rPr>
        <w:t>非贵/低贵</w:t>
      </w:r>
      <w:r>
        <w:rPr>
          <w:rStyle w:val="20"/>
          <w:bCs/>
          <w:sz w:val="24"/>
          <w:szCs w:val="24"/>
        </w:rPr>
        <w:t>金属催化剂的智能设计与筛选。</w:t>
      </w:r>
    </w:p>
    <w:p>
      <w:pPr>
        <w:pStyle w:val="3"/>
        <w:spacing w:after="163"/>
        <w:rPr>
          <w:rStyle w:val="20"/>
          <w:rFonts w:ascii="Times New Roman" w:hAnsi="Times New Roman"/>
          <w:szCs w:val="28"/>
        </w:rPr>
      </w:pPr>
      <w:bookmarkStart w:id="9" w:name="_Toc10915"/>
      <w:r>
        <w:rPr>
          <w:rStyle w:val="20"/>
          <w:rFonts w:ascii="Times New Roman" w:hAnsi="Times New Roman"/>
          <w:szCs w:val="28"/>
        </w:rPr>
        <w:t>1.2研究内容</w:t>
      </w:r>
      <w:bookmarkEnd w:id="9"/>
    </w:p>
    <w:p>
      <w:pPr>
        <w:pStyle w:val="4"/>
        <w:rPr>
          <w:rStyle w:val="20"/>
          <w:szCs w:val="24"/>
        </w:rPr>
      </w:pPr>
      <w:bookmarkStart w:id="10" w:name="_Toc6412"/>
      <w:r>
        <w:rPr>
          <w:rStyle w:val="20"/>
          <w:szCs w:val="24"/>
        </w:rPr>
        <w:t>1.2.1</w:t>
      </w:r>
      <w:r>
        <w:rPr>
          <w:rStyle w:val="20"/>
          <w:rFonts w:hint="eastAsia"/>
          <w:szCs w:val="24"/>
          <w:lang w:eastAsia="zh-CN"/>
        </w:rPr>
        <w:t>非贵/低贵</w:t>
      </w:r>
      <w:r>
        <w:rPr>
          <w:rStyle w:val="20"/>
          <w:szCs w:val="24"/>
        </w:rPr>
        <w:t>金属基纳米材料协同催化作用机理</w:t>
      </w:r>
      <w:bookmarkEnd w:id="10"/>
    </w:p>
    <w:p>
      <w:pPr>
        <w:spacing w:line="360" w:lineRule="auto"/>
        <w:ind w:firstLine="480" w:firstLineChars="200"/>
        <w:rPr>
          <w:rStyle w:val="20"/>
          <w:bCs/>
          <w:sz w:val="24"/>
          <w:szCs w:val="24"/>
        </w:rPr>
      </w:pPr>
      <w:r>
        <w:rPr>
          <w:rStyle w:val="20"/>
          <w:bCs/>
          <w:sz w:val="24"/>
          <w:szCs w:val="24"/>
        </w:rPr>
        <w:t>采用实验观察手段很难获知</w:t>
      </w:r>
      <w:r>
        <w:rPr>
          <w:rStyle w:val="20"/>
          <w:rFonts w:hint="eastAsia"/>
          <w:bCs/>
          <w:sz w:val="24"/>
          <w:szCs w:val="24"/>
          <w:lang w:eastAsia="zh-CN"/>
        </w:rPr>
        <w:t>非贵/低贵</w:t>
      </w:r>
      <w:r>
        <w:rPr>
          <w:rStyle w:val="20"/>
          <w:bCs/>
          <w:sz w:val="24"/>
          <w:szCs w:val="24"/>
        </w:rPr>
        <w:t>金属基纳米材料协同催化作用机理，如何通过理论研究手段揭示</w:t>
      </w:r>
      <w:r>
        <w:rPr>
          <w:rStyle w:val="20"/>
          <w:rFonts w:hint="eastAsia"/>
          <w:bCs/>
          <w:sz w:val="24"/>
          <w:szCs w:val="24"/>
          <w:lang w:eastAsia="zh-CN"/>
        </w:rPr>
        <w:t>非贵/低贵</w:t>
      </w:r>
      <w:r>
        <w:rPr>
          <w:rStyle w:val="20"/>
          <w:bCs/>
          <w:sz w:val="24"/>
          <w:szCs w:val="24"/>
        </w:rPr>
        <w:t>金属基纳米材料的催化性能优于其他贵金属基催化剂的机理，是本项目拟解决的第一个关键科学问题。本项目拟采用基于DFT的量子化学计算方法，结合微观动力学分析方法，形成一套完整的评估</w:t>
      </w:r>
      <w:r>
        <w:rPr>
          <w:rStyle w:val="20"/>
          <w:rFonts w:hint="eastAsia"/>
          <w:bCs/>
          <w:sz w:val="24"/>
          <w:szCs w:val="24"/>
          <w:lang w:eastAsia="zh-CN"/>
        </w:rPr>
        <w:t>非贵/低贵</w:t>
      </w:r>
      <w:r>
        <w:rPr>
          <w:rStyle w:val="20"/>
          <w:bCs/>
          <w:sz w:val="24"/>
          <w:szCs w:val="24"/>
        </w:rPr>
        <w:t>金属基纳米材料催化</w:t>
      </w:r>
      <w:r>
        <w:rPr>
          <w:sz w:val="24"/>
          <w:szCs w:val="24"/>
        </w:rPr>
        <w:t>氧还原、氧析出</w:t>
      </w:r>
      <w:r>
        <w:rPr>
          <w:rFonts w:hint="eastAsia"/>
          <w:sz w:val="24"/>
          <w:szCs w:val="24"/>
        </w:rPr>
        <w:t>、氢氧化和</w:t>
      </w:r>
      <w:r>
        <w:rPr>
          <w:sz w:val="24"/>
          <w:szCs w:val="24"/>
        </w:rPr>
        <w:t>氢析出</w:t>
      </w:r>
      <w:r>
        <w:rPr>
          <w:rStyle w:val="20"/>
          <w:bCs/>
          <w:sz w:val="24"/>
          <w:szCs w:val="24"/>
        </w:rPr>
        <w:t>反应性能的理论方法，实现计算结果与实验结果相互验证。通过分析</w:t>
      </w:r>
      <w:r>
        <w:rPr>
          <w:rStyle w:val="20"/>
          <w:rFonts w:hint="eastAsia"/>
          <w:bCs/>
          <w:sz w:val="24"/>
          <w:szCs w:val="24"/>
          <w:lang w:eastAsia="zh-CN"/>
        </w:rPr>
        <w:t>非贵/低贵</w:t>
      </w:r>
      <w:r>
        <w:rPr>
          <w:rStyle w:val="20"/>
          <w:bCs/>
          <w:sz w:val="24"/>
          <w:szCs w:val="24"/>
        </w:rPr>
        <w:t>金属基纳米材料的结构对其理论电催化活性的影响，深入理解</w:t>
      </w:r>
      <w:r>
        <w:rPr>
          <w:rStyle w:val="20"/>
          <w:rFonts w:hint="eastAsia"/>
          <w:bCs/>
          <w:sz w:val="24"/>
          <w:szCs w:val="24"/>
          <w:lang w:eastAsia="zh-CN"/>
        </w:rPr>
        <w:t>非贵/低贵</w:t>
      </w:r>
      <w:r>
        <w:rPr>
          <w:rStyle w:val="20"/>
          <w:bCs/>
          <w:sz w:val="24"/>
          <w:szCs w:val="24"/>
        </w:rPr>
        <w:t>金属基纳米材料在协同催化电解水反应中的作用，揭示已有实验中</w:t>
      </w:r>
      <w:r>
        <w:rPr>
          <w:rStyle w:val="20"/>
          <w:rFonts w:hint="eastAsia"/>
          <w:bCs/>
          <w:sz w:val="24"/>
          <w:szCs w:val="24"/>
          <w:lang w:eastAsia="zh-CN"/>
        </w:rPr>
        <w:t>非贵/低贵</w:t>
      </w:r>
      <w:r>
        <w:rPr>
          <w:rStyle w:val="20"/>
          <w:bCs/>
          <w:sz w:val="24"/>
          <w:szCs w:val="24"/>
        </w:rPr>
        <w:t>金属基纳米材料高活性的深层机理。</w:t>
      </w:r>
    </w:p>
    <w:p>
      <w:pPr>
        <w:pStyle w:val="4"/>
        <w:rPr>
          <w:rStyle w:val="20"/>
          <w:szCs w:val="24"/>
        </w:rPr>
      </w:pPr>
      <w:bookmarkStart w:id="11" w:name="_Toc19365"/>
      <w:r>
        <w:rPr>
          <w:rStyle w:val="20"/>
          <w:szCs w:val="24"/>
        </w:rPr>
        <w:t>1.2.2快速筛选高性能氢能关键催化材料方法</w:t>
      </w:r>
      <w:bookmarkEnd w:id="11"/>
    </w:p>
    <w:p>
      <w:pPr>
        <w:spacing w:line="360" w:lineRule="auto"/>
        <w:ind w:firstLine="480" w:firstLineChars="200"/>
        <w:rPr>
          <w:rStyle w:val="20"/>
          <w:bCs/>
          <w:sz w:val="24"/>
          <w:szCs w:val="24"/>
        </w:rPr>
      </w:pPr>
      <w:r>
        <w:rPr>
          <w:rStyle w:val="20"/>
          <w:bCs/>
          <w:sz w:val="24"/>
          <w:szCs w:val="24"/>
        </w:rPr>
        <w:t>现阶段尚缺少完整准确的电解水催化反应数据库用于快速筛选高性能氢能关键催化材料，揭示影响</w:t>
      </w:r>
      <w:r>
        <w:rPr>
          <w:rStyle w:val="20"/>
          <w:rFonts w:hint="eastAsia"/>
          <w:bCs/>
          <w:sz w:val="24"/>
          <w:szCs w:val="24"/>
          <w:lang w:eastAsia="zh-CN"/>
        </w:rPr>
        <w:t>非贵/低贵</w:t>
      </w:r>
      <w:r>
        <w:rPr>
          <w:rStyle w:val="20"/>
          <w:bCs/>
          <w:sz w:val="24"/>
          <w:szCs w:val="24"/>
        </w:rPr>
        <w:t>金属基纳米材料催化性能的核心结构特性参数并形成能源材料数据库，这是本项目需要解决的第二个关键科学问题。本项目拟构建针对</w:t>
      </w:r>
      <w:bookmarkStart w:id="12" w:name="OLE_LINK42"/>
      <w:r>
        <w:rPr>
          <w:sz w:val="24"/>
          <w:szCs w:val="24"/>
        </w:rPr>
        <w:t>氧还原、氧析出</w:t>
      </w:r>
      <w:r>
        <w:rPr>
          <w:rFonts w:hint="eastAsia"/>
          <w:sz w:val="24"/>
          <w:szCs w:val="24"/>
        </w:rPr>
        <w:t>、氢氧化和</w:t>
      </w:r>
      <w:r>
        <w:rPr>
          <w:sz w:val="24"/>
          <w:szCs w:val="24"/>
        </w:rPr>
        <w:t>氢析出</w:t>
      </w:r>
      <w:r>
        <w:rPr>
          <w:rStyle w:val="20"/>
          <w:bCs/>
          <w:sz w:val="24"/>
          <w:szCs w:val="24"/>
        </w:rPr>
        <w:t>反应</w:t>
      </w:r>
      <w:bookmarkEnd w:id="12"/>
      <w:r>
        <w:rPr>
          <w:rStyle w:val="20"/>
          <w:bCs/>
          <w:sz w:val="24"/>
          <w:szCs w:val="24"/>
        </w:rPr>
        <w:t>的相应表面结构作为计算模型，在模型催化剂上进行计算模拟，通过评估方法计算它们的催化性能并寻找可能对催化活性产生影响的结构特性参数，作为后续构建机器学习算法模型的源数据。通过构建适用于不同反应结构模型的结构描述符，开发基于</w:t>
      </w:r>
      <w:r>
        <w:rPr>
          <w:rStyle w:val="20"/>
          <w:rFonts w:hint="eastAsia"/>
          <w:bCs/>
          <w:sz w:val="24"/>
          <w:szCs w:val="24"/>
          <w:lang w:eastAsia="zh-CN"/>
        </w:rPr>
        <w:t>非贵/低贵</w:t>
      </w:r>
      <w:r>
        <w:rPr>
          <w:rStyle w:val="20"/>
          <w:bCs/>
          <w:sz w:val="24"/>
          <w:szCs w:val="24"/>
        </w:rPr>
        <w:t>金属基纳米催化剂表面结构特征的中间产物吸附能预测模型，揭示</w:t>
      </w:r>
      <w:r>
        <w:rPr>
          <w:rStyle w:val="20"/>
          <w:rFonts w:hint="eastAsia"/>
          <w:bCs/>
          <w:sz w:val="24"/>
          <w:szCs w:val="24"/>
          <w:lang w:eastAsia="zh-CN"/>
        </w:rPr>
        <w:t>非贵/低贵</w:t>
      </w:r>
      <w:r>
        <w:rPr>
          <w:rStyle w:val="20"/>
          <w:bCs/>
          <w:sz w:val="24"/>
          <w:szCs w:val="24"/>
        </w:rPr>
        <w:t>金属基纳米催化剂的结构特征对电解水反应的调控机制。</w:t>
      </w:r>
    </w:p>
    <w:p>
      <w:pPr>
        <w:pStyle w:val="4"/>
        <w:rPr>
          <w:rStyle w:val="20"/>
          <w:szCs w:val="24"/>
        </w:rPr>
      </w:pPr>
      <w:bookmarkStart w:id="13" w:name="_Toc6670"/>
      <w:r>
        <w:rPr>
          <w:rStyle w:val="20"/>
          <w:szCs w:val="24"/>
        </w:rPr>
        <w:t>1.2.3高性能氢能催化材料的高通量智能筛选与精准设计</w:t>
      </w:r>
      <w:bookmarkEnd w:id="13"/>
    </w:p>
    <w:p>
      <w:pPr>
        <w:spacing w:line="360" w:lineRule="auto"/>
        <w:ind w:firstLine="480" w:firstLineChars="200"/>
        <w:rPr>
          <w:rStyle w:val="20"/>
          <w:bCs/>
          <w:sz w:val="24"/>
          <w:szCs w:val="24"/>
        </w:rPr>
      </w:pPr>
      <w:r>
        <w:rPr>
          <w:rStyle w:val="20"/>
          <w:bCs/>
          <w:sz w:val="24"/>
          <w:szCs w:val="24"/>
        </w:rPr>
        <w:t>如何根据氢能源材料数据库实现高性能氢能催化材料的高通量智能筛选与精准设计，最终得到用于电解水反应的高活性</w:t>
      </w:r>
      <w:r>
        <w:rPr>
          <w:rStyle w:val="20"/>
          <w:rFonts w:hint="eastAsia"/>
          <w:bCs/>
          <w:sz w:val="24"/>
          <w:szCs w:val="24"/>
          <w:lang w:eastAsia="zh-CN"/>
        </w:rPr>
        <w:t>非贵/低贵</w:t>
      </w:r>
      <w:r>
        <w:rPr>
          <w:rStyle w:val="20"/>
          <w:bCs/>
          <w:sz w:val="24"/>
          <w:szCs w:val="24"/>
        </w:rPr>
        <w:t>金属基纳米催化剂体系，是亟待解决的第三个关键科学问题。本项目拟采用机器学习技术对包含催化剂结构特性参数（电子结构和几何结构）、中间体吸附能、理论过电势的数据库进行数据挖掘，分析反应位点电子结构特性对活性影响的核心因素，建立材料成分、工艺、微结构、性能之间的关联模型，根据机器学习训练模型初步得到影响催化活性的关键参数与结构描述符，完成数据库的交互式、可视化设计，并完成高效率智能设计平台的建立，实现催化性能导向的逆向分析，最终实现氢能关键催化材料的高通量筛选及精准设计。</w:t>
      </w:r>
    </w:p>
    <w:p>
      <w:pPr>
        <w:pStyle w:val="3"/>
        <w:spacing w:after="163"/>
        <w:rPr>
          <w:rStyle w:val="20"/>
          <w:rFonts w:ascii="Times New Roman" w:hAnsi="Times New Roman"/>
          <w:szCs w:val="24"/>
        </w:rPr>
      </w:pPr>
      <w:bookmarkStart w:id="14" w:name="_Toc7463"/>
      <w:r>
        <w:rPr>
          <w:rStyle w:val="20"/>
          <w:rFonts w:ascii="Times New Roman" w:hAnsi="Times New Roman"/>
          <w:szCs w:val="28"/>
        </w:rPr>
        <w:t>1.3 研究技术路线</w:t>
      </w:r>
      <w:bookmarkEnd w:id="14"/>
    </w:p>
    <w:p>
      <w:pPr>
        <w:pStyle w:val="4"/>
        <w:rPr>
          <w:rStyle w:val="20"/>
          <w:szCs w:val="24"/>
        </w:rPr>
      </w:pPr>
      <w:bookmarkStart w:id="15" w:name="_Toc9740"/>
      <w:r>
        <w:rPr>
          <w:rStyle w:val="20"/>
          <w:szCs w:val="24"/>
        </w:rPr>
        <w:t>1.3.1 建立氢能关键催化材料催化</w:t>
      </w:r>
      <w:r>
        <w:rPr>
          <w:rStyle w:val="20"/>
          <w:rFonts w:hint="eastAsia"/>
          <w:szCs w:val="24"/>
        </w:rPr>
        <w:t>反应</w:t>
      </w:r>
      <w:r>
        <w:rPr>
          <w:rStyle w:val="20"/>
          <w:szCs w:val="24"/>
        </w:rPr>
        <w:t>性能的理论评估方法</w:t>
      </w:r>
      <w:bookmarkEnd w:id="15"/>
    </w:p>
    <w:p>
      <w:pPr>
        <w:spacing w:line="360" w:lineRule="auto"/>
        <w:ind w:firstLine="480" w:firstLineChars="200"/>
        <w:rPr>
          <w:sz w:val="24"/>
          <w:szCs w:val="24"/>
        </w:rPr>
      </w:pPr>
      <w:r>
        <w:rPr>
          <w:sz w:val="24"/>
          <w:szCs w:val="24"/>
        </w:rPr>
        <w:t>采用量化计算，根据</w:t>
      </w:r>
      <w:bookmarkStart w:id="16" w:name="OLE_LINK49"/>
      <w:r>
        <w:rPr>
          <w:rFonts w:hint="eastAsia"/>
          <w:sz w:val="24"/>
          <w:szCs w:val="24"/>
          <w:lang w:val="en-US" w:eastAsia="zh-CN"/>
        </w:rPr>
        <w:t>氢能</w:t>
      </w:r>
      <w:r>
        <w:rPr>
          <w:rFonts w:hint="eastAsia"/>
          <w:sz w:val="24"/>
          <w:szCs w:val="24"/>
        </w:rPr>
        <w:t>电化学</w:t>
      </w:r>
      <w:r>
        <w:rPr>
          <w:sz w:val="24"/>
          <w:szCs w:val="24"/>
        </w:rPr>
        <w:t>相关反应</w:t>
      </w:r>
      <w:bookmarkEnd w:id="16"/>
      <w:r>
        <w:rPr>
          <w:sz w:val="24"/>
          <w:szCs w:val="24"/>
        </w:rPr>
        <w:t>（</w:t>
      </w:r>
      <w:bookmarkStart w:id="17" w:name="OLE_LINK39"/>
      <w:r>
        <w:rPr>
          <w:sz w:val="24"/>
          <w:szCs w:val="24"/>
        </w:rPr>
        <w:t>氧还原、氧析出</w:t>
      </w:r>
      <w:r>
        <w:rPr>
          <w:rFonts w:hint="eastAsia"/>
          <w:sz w:val="24"/>
          <w:szCs w:val="24"/>
        </w:rPr>
        <w:t>、氢氧化和</w:t>
      </w:r>
      <w:r>
        <w:rPr>
          <w:sz w:val="24"/>
          <w:szCs w:val="24"/>
        </w:rPr>
        <w:t>氢析出</w:t>
      </w:r>
      <w:bookmarkEnd w:id="17"/>
      <w:r>
        <w:rPr>
          <w:sz w:val="24"/>
          <w:szCs w:val="24"/>
        </w:rPr>
        <w:t>）反应路径，在模型催化剂上进行计算模拟，计算在不同表面模型上的反应物、中间产物、最终产物的吸附能，获取每步基元反应的活化能垒。结合微观动力学分析获取各步基元反应的反应速率。通过比较不同反应路径的速控步的反应速率，找到主（副）反应的最优反应路径。最后结合表面模型上主（副）反应的反应速率和已有实验中催化剂每种反应位点的比例，转化成特定输出电压条件下的电流密度，形成一套完整的</w:t>
      </w:r>
      <w:r>
        <w:rPr>
          <w:rFonts w:hint="eastAsia"/>
          <w:sz w:val="24"/>
          <w:szCs w:val="24"/>
          <w:lang w:eastAsia="zh-CN"/>
        </w:rPr>
        <w:t>非贵/低贵</w:t>
      </w:r>
      <w:r>
        <w:rPr>
          <w:sz w:val="24"/>
          <w:szCs w:val="24"/>
        </w:rPr>
        <w:t>金属基纳米材料催化电极反应性能的理论评估方法。进行计算结果与实验结果的对比，验证理论评估方法的准确性。</w:t>
      </w:r>
    </w:p>
    <w:p>
      <w:pPr>
        <w:pStyle w:val="4"/>
        <w:rPr>
          <w:rStyle w:val="20"/>
          <w:szCs w:val="24"/>
        </w:rPr>
      </w:pPr>
      <w:bookmarkStart w:id="18" w:name="_Toc32062"/>
      <w:r>
        <w:rPr>
          <w:rStyle w:val="20"/>
          <w:szCs w:val="24"/>
        </w:rPr>
        <w:t>1.3.2 建立氢能关键催化材料的量子化学数据库</w:t>
      </w:r>
      <w:bookmarkEnd w:id="18"/>
    </w:p>
    <w:p>
      <w:pPr>
        <w:spacing w:line="360" w:lineRule="auto"/>
        <w:ind w:firstLine="480" w:firstLineChars="200"/>
        <w:rPr>
          <w:sz w:val="24"/>
          <w:szCs w:val="24"/>
        </w:rPr>
      </w:pPr>
      <w:r>
        <w:rPr>
          <w:sz w:val="24"/>
          <w:szCs w:val="24"/>
        </w:rPr>
        <w:t>基于已有实验对</w:t>
      </w:r>
      <w:r>
        <w:rPr>
          <w:rFonts w:hint="eastAsia"/>
          <w:sz w:val="24"/>
          <w:szCs w:val="24"/>
          <w:lang w:eastAsia="zh-CN"/>
        </w:rPr>
        <w:t>非贵/低贵</w:t>
      </w:r>
      <w:r>
        <w:rPr>
          <w:sz w:val="24"/>
          <w:szCs w:val="24"/>
        </w:rPr>
        <w:t>金属基纳米催化剂的反应位点的精确表征，构建针对</w:t>
      </w:r>
      <w:r>
        <w:rPr>
          <w:rFonts w:hint="eastAsia"/>
          <w:sz w:val="24"/>
          <w:szCs w:val="24"/>
          <w:lang w:val="en-US" w:eastAsia="zh-CN"/>
        </w:rPr>
        <w:t>氢能</w:t>
      </w:r>
      <w:r>
        <w:rPr>
          <w:rFonts w:hint="eastAsia"/>
          <w:sz w:val="24"/>
          <w:szCs w:val="24"/>
        </w:rPr>
        <w:t>电化学</w:t>
      </w:r>
      <w:r>
        <w:rPr>
          <w:sz w:val="24"/>
          <w:szCs w:val="24"/>
        </w:rPr>
        <w:t>相关反应催化剂的相应表面结构作为计算模型。利用上述建立的理论评估方法计算它们的催化性能，作为后续构建机器学习算法模型的源数据。由于决定氧还原、氧析出</w:t>
      </w:r>
      <w:r>
        <w:rPr>
          <w:rFonts w:hint="eastAsia"/>
          <w:sz w:val="24"/>
          <w:szCs w:val="24"/>
        </w:rPr>
        <w:t>、氢氧化和</w:t>
      </w:r>
      <w:r>
        <w:rPr>
          <w:sz w:val="24"/>
          <w:szCs w:val="24"/>
        </w:rPr>
        <w:t>氢析出等相关电</w:t>
      </w:r>
      <w:r>
        <w:rPr>
          <w:rFonts w:hint="eastAsia"/>
          <w:sz w:val="24"/>
          <w:szCs w:val="24"/>
        </w:rPr>
        <w:t>化学</w:t>
      </w:r>
      <w:r>
        <w:rPr>
          <w:sz w:val="24"/>
          <w:szCs w:val="24"/>
        </w:rPr>
        <w:t>反应活性的动力学参数之间存在内在关联式，因此</w:t>
      </w:r>
      <w:r>
        <w:rPr>
          <w:rFonts w:hint="eastAsia"/>
          <w:sz w:val="24"/>
          <w:szCs w:val="24"/>
        </w:rPr>
        <w:t>可以</w:t>
      </w:r>
      <w:r>
        <w:rPr>
          <w:sz w:val="24"/>
          <w:szCs w:val="24"/>
        </w:rPr>
        <w:t>建立关联中间产物吸附能与相关反应主（副）产物转化速率的“火山型”等高线图。基于不同表面模型上反应位点的电子结构和几何结构，构建适用于不同反应的结构模型的结构描述符，开发基于</w:t>
      </w:r>
      <w:r>
        <w:rPr>
          <w:rFonts w:hint="eastAsia"/>
          <w:sz w:val="24"/>
          <w:szCs w:val="24"/>
          <w:lang w:eastAsia="zh-CN"/>
        </w:rPr>
        <w:t>非贵/低贵</w:t>
      </w:r>
      <w:r>
        <w:rPr>
          <w:sz w:val="24"/>
          <w:szCs w:val="24"/>
        </w:rPr>
        <w:t>金属基纳米催化剂表面结构特征的中间产物吸附能预测模型。对结构描述符包含的各个结构参数进行敏感性测试，获取</w:t>
      </w:r>
      <w:r>
        <w:rPr>
          <w:rFonts w:hint="eastAsia"/>
          <w:sz w:val="24"/>
          <w:szCs w:val="24"/>
          <w:lang w:eastAsia="zh-CN"/>
        </w:rPr>
        <w:t>非贵/低贵</w:t>
      </w:r>
      <w:r>
        <w:rPr>
          <w:sz w:val="24"/>
          <w:szCs w:val="24"/>
        </w:rPr>
        <w:t>金属基纳米催化剂反应位点的不同结构特征对氧还原、氧析出</w:t>
      </w:r>
      <w:bookmarkStart w:id="19" w:name="OLE_LINK50"/>
      <w:r>
        <w:rPr>
          <w:rFonts w:hint="eastAsia"/>
          <w:sz w:val="24"/>
          <w:szCs w:val="24"/>
          <w:lang w:eastAsia="zh-CN"/>
        </w:rPr>
        <w:t>、</w:t>
      </w:r>
      <w:r>
        <w:rPr>
          <w:rFonts w:hint="eastAsia"/>
          <w:sz w:val="24"/>
          <w:szCs w:val="24"/>
          <w:lang w:val="en-US" w:eastAsia="zh-CN"/>
        </w:rPr>
        <w:t>氢氧化</w:t>
      </w:r>
      <w:r>
        <w:rPr>
          <w:sz w:val="24"/>
          <w:szCs w:val="24"/>
        </w:rPr>
        <w:t>与氢析出</w:t>
      </w:r>
      <w:bookmarkEnd w:id="19"/>
      <w:r>
        <w:rPr>
          <w:sz w:val="24"/>
          <w:szCs w:val="24"/>
        </w:rPr>
        <w:t>等反应催化性能影响的比重，进一步揭示</w:t>
      </w:r>
      <w:r>
        <w:rPr>
          <w:rFonts w:hint="eastAsia"/>
          <w:sz w:val="24"/>
          <w:szCs w:val="24"/>
          <w:lang w:eastAsia="zh-CN"/>
        </w:rPr>
        <w:t>非贵/低贵</w:t>
      </w:r>
      <w:r>
        <w:rPr>
          <w:sz w:val="24"/>
          <w:szCs w:val="24"/>
        </w:rPr>
        <w:t>金属基纳米催化剂的结构特征与氧还原、氧析出</w:t>
      </w:r>
      <w:r>
        <w:rPr>
          <w:rFonts w:hint="eastAsia"/>
          <w:sz w:val="24"/>
          <w:szCs w:val="24"/>
          <w:lang w:eastAsia="zh-CN"/>
        </w:rPr>
        <w:t>、</w:t>
      </w:r>
      <w:r>
        <w:rPr>
          <w:rFonts w:hint="eastAsia"/>
          <w:sz w:val="24"/>
          <w:szCs w:val="24"/>
          <w:lang w:val="en-US" w:eastAsia="zh-CN"/>
        </w:rPr>
        <w:t>氢氧化</w:t>
      </w:r>
      <w:r>
        <w:rPr>
          <w:sz w:val="24"/>
          <w:szCs w:val="24"/>
        </w:rPr>
        <w:t>与氢析出相关反应的调控机制。</w:t>
      </w:r>
    </w:p>
    <w:p>
      <w:pPr>
        <w:pStyle w:val="4"/>
        <w:rPr>
          <w:rStyle w:val="20"/>
          <w:szCs w:val="24"/>
        </w:rPr>
      </w:pPr>
      <w:bookmarkStart w:id="20" w:name="_Toc26803"/>
      <w:r>
        <w:rPr>
          <w:rStyle w:val="20"/>
          <w:szCs w:val="24"/>
        </w:rPr>
        <w:t>1.3.3 氢能关键催化材料的高通量智能筛选设计平台</w:t>
      </w:r>
      <w:bookmarkEnd w:id="20"/>
    </w:p>
    <w:p>
      <w:pPr>
        <w:spacing w:line="360" w:lineRule="auto"/>
        <w:ind w:firstLine="480" w:firstLineChars="200"/>
        <w:rPr>
          <w:sz w:val="24"/>
          <w:szCs w:val="24"/>
        </w:rPr>
      </w:pPr>
      <w:r>
        <w:rPr>
          <w:sz w:val="24"/>
          <w:szCs w:val="24"/>
        </w:rPr>
        <w:t>针对上述包含催化剂结构特性参数、中间体吸附能、理论过电势的数据库，采用机器学习技术进行数据挖掘，针对数据库规模与特性测试监督学习与非监督学习对数据库的适用性，利用多种机器学习算法分析反应位点电子结构特性对活性影响的核心因素，建立材料成分、工艺、微结构、性能之间的关联模型。根据机器学习训练模型初步得到影响催化活性的关键参数与结构描述符，完成数据库的交互式、可视化设计，并完成高效率智能设计平台的建立，实现催化性能导向的逆向分析。并根据课题2的实验结果不断优化数据库与机器学习模型，达到氢能关键催化材料的高通量筛选及精准设计。</w:t>
      </w:r>
    </w:p>
    <w:p>
      <w:pPr>
        <w:spacing w:line="360" w:lineRule="auto"/>
        <w:ind w:firstLine="480" w:firstLineChars="200"/>
        <w:rPr>
          <w:sz w:val="24"/>
          <w:szCs w:val="24"/>
        </w:rPr>
      </w:pPr>
    </w:p>
    <w:p>
      <w:pPr>
        <w:rPr>
          <w:rStyle w:val="20"/>
          <w:szCs w:val="32"/>
        </w:rPr>
      </w:pPr>
      <w:r>
        <w:rPr>
          <w:rStyle w:val="20"/>
          <w:szCs w:val="32"/>
        </w:rPr>
        <w:br w:type="page"/>
      </w:r>
    </w:p>
    <w:p>
      <w:pPr>
        <w:pStyle w:val="2"/>
        <w:spacing w:after="163"/>
        <w:rPr>
          <w:rStyle w:val="20"/>
          <w:szCs w:val="32"/>
        </w:rPr>
      </w:pPr>
      <w:bookmarkStart w:id="21" w:name="_Toc16166"/>
      <w:r>
        <w:rPr>
          <w:rStyle w:val="20"/>
          <w:szCs w:val="32"/>
        </w:rPr>
        <w:t>2 研究进展</w:t>
      </w:r>
      <w:bookmarkEnd w:id="21"/>
    </w:p>
    <w:p>
      <w:pPr>
        <w:pStyle w:val="3"/>
        <w:spacing w:after="163"/>
        <w:rPr>
          <w:rStyle w:val="20"/>
          <w:rFonts w:ascii="Times New Roman" w:hAnsi="Times New Roman"/>
          <w:szCs w:val="28"/>
        </w:rPr>
      </w:pPr>
      <w:bookmarkStart w:id="22" w:name="_Toc28040"/>
      <w:r>
        <w:rPr>
          <w:rStyle w:val="20"/>
          <w:rFonts w:ascii="Times New Roman" w:hAnsi="Times New Roman"/>
          <w:szCs w:val="28"/>
        </w:rPr>
        <w:t>2.1氢能关键催化材料催化析氢反应的设计与筛选</w:t>
      </w:r>
      <w:bookmarkEnd w:id="22"/>
    </w:p>
    <w:p>
      <w:pPr>
        <w:pStyle w:val="6"/>
        <w:adjustRightInd w:val="0"/>
        <w:snapToGrid w:val="0"/>
        <w:spacing w:line="360" w:lineRule="auto"/>
        <w:ind w:firstLine="480" w:firstLineChars="200"/>
        <w:rPr>
          <w:sz w:val="24"/>
          <w:szCs w:val="24"/>
        </w:rPr>
      </w:pPr>
      <w:r>
        <w:rPr>
          <w:sz w:val="24"/>
          <w:szCs w:val="24"/>
        </w:rPr>
        <w:t>氢能作为一种绿色、来源广泛的二次能源，在未来能源体系中发挥重要作用</w:t>
      </w:r>
      <w:r>
        <w:rPr>
          <w:rFonts w:hint="eastAsia"/>
          <w:sz w:val="24"/>
          <w:szCs w:val="24"/>
        </w:rPr>
        <w:t>，</w:t>
      </w:r>
      <w:r>
        <w:rPr>
          <w:sz w:val="24"/>
          <w:szCs w:val="24"/>
        </w:rPr>
        <w:t>高效的电解水制氢技术是可再生能源制氢的核心，具有绿色环保</w:t>
      </w:r>
      <w:r>
        <w:rPr>
          <w:rFonts w:hint="eastAsia"/>
          <w:sz w:val="24"/>
          <w:szCs w:val="24"/>
        </w:rPr>
        <w:t>、</w:t>
      </w:r>
      <w:r>
        <w:rPr>
          <w:sz w:val="24"/>
          <w:szCs w:val="24"/>
        </w:rPr>
        <w:t>生产灵活</w:t>
      </w:r>
      <w:r>
        <w:rPr>
          <w:rFonts w:hint="eastAsia"/>
          <w:sz w:val="24"/>
          <w:szCs w:val="24"/>
        </w:rPr>
        <w:t>、</w:t>
      </w:r>
      <w:r>
        <w:rPr>
          <w:sz w:val="24"/>
          <w:szCs w:val="24"/>
        </w:rPr>
        <w:t>产品纯度高等优势。</w:t>
      </w:r>
      <w:r>
        <w:rPr>
          <w:rFonts w:hint="eastAsia"/>
          <w:sz w:val="24"/>
          <w:szCs w:val="24"/>
        </w:rPr>
        <w:t>目前性能最佳的催化剂仍然是铂基催化剂，但其高成本、资源短缺以及有限的稳定性制约了电解水产业的大规模发展。</w:t>
      </w:r>
    </w:p>
    <w:p>
      <w:pPr>
        <w:adjustRightInd w:val="0"/>
        <w:snapToGrid w:val="0"/>
        <w:spacing w:line="360" w:lineRule="auto"/>
        <w:ind w:firstLine="480" w:firstLineChars="200"/>
        <w:rPr>
          <w:sz w:val="24"/>
          <w:szCs w:val="24"/>
        </w:rPr>
      </w:pPr>
      <w:bookmarkStart w:id="23" w:name="OLE_LINK5"/>
      <w:r>
        <w:rPr>
          <w:sz w:val="24"/>
          <w:szCs w:val="24"/>
        </w:rPr>
        <w:t>在众多可能取代铂用于HER的催化剂中，</w:t>
      </w:r>
      <w:r>
        <w:rPr>
          <w:rFonts w:hint="eastAsia"/>
          <w:sz w:val="24"/>
          <w:szCs w:val="24"/>
          <w:lang w:val="en-US" w:eastAsia="zh-CN"/>
        </w:rPr>
        <w:t>类似</w:t>
      </w:r>
      <w:r>
        <w:rPr>
          <w:sz w:val="24"/>
          <w:szCs w:val="24"/>
        </w:rPr>
        <w:t>MXenes的2D材料已经渐露头角</w:t>
      </w:r>
      <w:r>
        <w:rPr>
          <w:rFonts w:hint="eastAsia"/>
          <w:sz w:val="24"/>
          <w:szCs w:val="24"/>
          <w:lang w:eastAsia="zh-CN"/>
        </w:rPr>
        <w:t>，</w:t>
      </w:r>
      <w:r>
        <w:rPr>
          <w:rFonts w:hint="eastAsia"/>
          <w:sz w:val="24"/>
          <w:szCs w:val="24"/>
          <w:lang w:val="en-US" w:eastAsia="zh-CN"/>
        </w:rPr>
        <w:t>引起人们的广泛关注</w:t>
      </w:r>
      <w:r>
        <w:rPr>
          <w:sz w:val="24"/>
          <w:szCs w:val="24"/>
        </w:rPr>
        <w:t>。MXenes是二维过渡金属碳化物、氮化物或碳氮化物材料，一般化学式为M</w:t>
      </w:r>
      <w:r>
        <w:rPr>
          <w:sz w:val="24"/>
          <w:szCs w:val="24"/>
          <w:vertAlign w:val="subscript"/>
        </w:rPr>
        <w:t>n+1</w:t>
      </w:r>
      <w:r>
        <w:rPr>
          <w:sz w:val="24"/>
          <w:szCs w:val="24"/>
        </w:rPr>
        <w:t>X</w:t>
      </w:r>
      <w:r>
        <w:rPr>
          <w:sz w:val="24"/>
          <w:szCs w:val="24"/>
          <w:vertAlign w:val="subscript"/>
        </w:rPr>
        <w:t>n</w:t>
      </w:r>
      <w:r>
        <w:rPr>
          <w:sz w:val="24"/>
          <w:szCs w:val="24"/>
        </w:rPr>
        <w:t>T</w:t>
      </w:r>
      <w:r>
        <w:rPr>
          <w:sz w:val="24"/>
          <w:szCs w:val="24"/>
          <w:vertAlign w:val="subscript"/>
        </w:rPr>
        <w:t>x</w:t>
      </w:r>
      <w:r>
        <w:rPr>
          <w:sz w:val="24"/>
          <w:szCs w:val="24"/>
        </w:rPr>
        <w:t>，其中n=1-3，M为早期过渡金属，X = C和/或N</w:t>
      </w:r>
      <w:r>
        <w:rPr>
          <w:sz w:val="24"/>
          <w:szCs w:val="24"/>
        </w:rPr>
        <w:fldChar w:fldCharType="begin"/>
      </w:r>
      <w:r>
        <w:rPr>
          <w:sz w:val="24"/>
          <w:szCs w:val="24"/>
        </w:rPr>
        <w:instrText xml:space="preserve"> ADDIN EN.CITE &lt;EndNote&gt;&lt;Cite&gt;&lt;Author&gt;VahidMohammadi&lt;/Author&gt;&lt;Year&gt;2021&lt;/Year&gt;&lt;RecNum&gt;742&lt;/RecNum&gt;&lt;DisplayText&gt;&lt;style face="superscript"&gt;1, 2&lt;/style&gt;&lt;/DisplayText&gt;&lt;record&gt;&lt;rec-number&gt;742&lt;/rec-number&gt;&lt;foreign-keys&gt;&lt;key app="EN" db-id="5rrvsre999902pep9fb5vzfmxtx2s0vssz29" timestamp="1693358350"&gt;742&lt;/key&gt;&lt;/foreign-keys&gt;&lt;ref-type name="Journal Article"&gt;17&lt;/ref-type&gt;&lt;contributors&gt;&lt;authors&gt;&lt;author&gt;VahidMohammadi, Armin&lt;/author&gt;&lt;author&gt;Rosen, Johanna&lt;/author&gt;&lt;author&gt;Gogotsi, Yury&lt;/author&gt;&lt;/authors&gt;&lt;/contributors&gt;&lt;titles&gt;&lt;title&gt;The world of two-dimensional carbides and nitrides (MXenes)&lt;/title&gt;&lt;/titles&gt;&lt;pages&gt;eabf1581&lt;/pages&gt;&lt;volume&gt;372&lt;/volume&gt;&lt;number&gt;6547&lt;/number&gt;&lt;dates&gt;&lt;year&gt;2021&lt;/year&gt;&lt;/dates&gt;&lt;urls&gt;&lt;related-urls&gt;&lt;url&gt;https://www.science.org/doi/abs/10.1126/science.abf1581&lt;/url&gt;&lt;/related-urls&gt;&lt;/urls&gt;&lt;electronic-resource-num&gt;doi:10.1126/science.abf1581&lt;/electronic-resource-num&gt;&lt;/record&gt;&lt;/Cite&gt;&lt;Cite&gt;&lt;Author&gt;Tang&lt;/Author&gt;&lt;Year&gt;2020&lt;/Year&gt;&lt;RecNum&gt;744&lt;/RecNum&gt;&lt;record&gt;&lt;rec-number&gt;744&lt;/rec-number&gt;&lt;foreign-keys&gt;&lt;key app="EN" db-id="5rrvsre999902pep9fb5vzfmxtx2s0vssz29" timestamp="1693359952"&gt;744&lt;/key&gt;&lt;/foreign-keys&gt;&lt;ref-type name="Journal Article"&gt;17&lt;/ref-type&gt;&lt;contributors&gt;&lt;authors&gt;&lt;author&gt;Tang, Xiao&lt;/author&gt;&lt;author&gt;Zhou, Dong&lt;/author&gt;&lt;author&gt;Li, Peng&lt;/author&gt;&lt;author&gt;Guo, Xin&lt;/author&gt;&lt;author&gt;Sun, Bing&lt;/author&gt;&lt;author&gt;Liu, Hao&lt;/author&gt;&lt;author&gt;Yan, Kang&lt;/author&gt;&lt;author&gt;Gogotsi, Yury&lt;/author&gt;&lt;author&gt;Wang, Guoxiu&lt;/author&gt;&lt;/authors&gt;&lt;/contributors&gt;&lt;titles&gt;&lt;title&gt;MXene-Based Dendrite-Free Potassium Metal Batteries&lt;/title&gt;&lt;/titles&gt;&lt;pages&gt;1906739&lt;/pages&gt;&lt;volume&gt;32&lt;/volume&gt;&lt;number&gt;4&lt;/number&gt;&lt;dates&gt;&lt;year&gt;2020&lt;/year&gt;&lt;/dates&gt;&lt;isbn&gt;0935-9648&lt;/isbn&gt;&lt;urls&gt;&lt;related-urls&gt;&lt;url&gt;https://onlinelibrary.wiley.com/doi/abs/10.1002/adma.201906739&lt;/url&gt;&lt;/related-urls&gt;&lt;/urls&gt;&lt;electronic-resource-num&gt;https://doi.org/10.1002/adma.201906739&lt;/electronic-resource-num&gt;&lt;/record&gt;&lt;/Cite&gt;&lt;/EndNote&gt;</w:instrText>
      </w:r>
      <w:r>
        <w:rPr>
          <w:sz w:val="24"/>
          <w:szCs w:val="24"/>
        </w:rPr>
        <w:fldChar w:fldCharType="separate"/>
      </w:r>
      <w:r>
        <w:rPr>
          <w:sz w:val="24"/>
          <w:szCs w:val="24"/>
          <w:vertAlign w:val="superscript"/>
        </w:rPr>
        <w:t>1, 2</w:t>
      </w:r>
      <w:r>
        <w:rPr>
          <w:sz w:val="24"/>
          <w:szCs w:val="24"/>
        </w:rPr>
        <w:fldChar w:fldCharType="end"/>
      </w:r>
      <w:r>
        <w:rPr>
          <w:sz w:val="24"/>
          <w:szCs w:val="24"/>
        </w:rPr>
        <w:t>。</w:t>
      </w:r>
      <w:bookmarkStart w:id="24" w:name="OLE_LINK6"/>
      <w:r>
        <w:rPr>
          <w:sz w:val="24"/>
          <w:szCs w:val="24"/>
        </w:rPr>
        <w:t>MXenes材料具有高活性位点、高亲水性、高导电性和高结构稳定性，</w:t>
      </w:r>
      <w:bookmarkEnd w:id="24"/>
      <w:r>
        <w:rPr>
          <w:sz w:val="24"/>
          <w:szCs w:val="24"/>
        </w:rPr>
        <w:t>在电解水制氢方面被寄予厚望</w:t>
      </w:r>
      <w:r>
        <w:rPr>
          <w:sz w:val="24"/>
          <w:szCs w:val="24"/>
        </w:rPr>
        <w:fldChar w:fldCharType="begin">
          <w:fldData xml:space="preserve">PEVuZE5vdGU+PENpdGU+PEF1dGhvcj5KaWFuZzwvQXV0aG9yPjxZZWFyPjIwMTk8L1llYXI+PFJl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</w:fldData>
        </w:fldChar>
      </w:r>
      <w:r>
        <w:rPr>
          <w:sz w:val="24"/>
          <w:szCs w:val="24"/>
        </w:rPr>
        <w:instrText xml:space="preserve"> ADDIN EN.CITE </w:instrText>
      </w:r>
      <w:r>
        <w:rPr>
          <w:sz w:val="24"/>
          <w:szCs w:val="24"/>
        </w:rPr>
        <w:fldChar w:fldCharType="begin">
          <w:fldData xml:space="preserve">PEVuZE5vdGU+PENpdGU+PEF1dGhvcj5KaWFuZzwvQXV0aG9yPjxZZWFyPjIwMTk8L1llYXI+PFJl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</w:fldData>
        </w:fldChar>
      </w:r>
      <w:r>
        <w:rPr>
          <w:sz w:val="24"/>
          <w:szCs w:val="24"/>
        </w:rPr>
        <w:instrText xml:space="preserve"> ADDIN EN.CITE.DATA </w:instrText>
      </w:r>
      <w:r>
        <w:rPr>
          <w:sz w:val="24"/>
          <w:szCs w:val="24"/>
        </w:rPr>
        <w:fldChar w:fldCharType="separate"/>
      </w:r>
      <w:r>
        <w:rPr>
          <w:sz w:val="24"/>
          <w:szCs w:val="24"/>
        </w:rPr>
        <w:fldChar w:fldCharType="end"/>
      </w:r>
      <w:r>
        <w:rPr>
          <w:sz w:val="24"/>
          <w:szCs w:val="24"/>
        </w:rPr>
        <w:fldChar w:fldCharType="separate"/>
      </w:r>
      <w:r>
        <w:rPr>
          <w:sz w:val="24"/>
          <w:szCs w:val="24"/>
          <w:vertAlign w:val="superscript"/>
        </w:rPr>
        <w:t>3, 4</w:t>
      </w:r>
      <w:r>
        <w:rPr>
          <w:sz w:val="24"/>
          <w:szCs w:val="24"/>
        </w:rPr>
        <w:fldChar w:fldCharType="end"/>
      </w:r>
      <w:r>
        <w:rPr>
          <w:sz w:val="24"/>
          <w:szCs w:val="24"/>
        </w:rPr>
        <w:t>。超过50种类型的</w:t>
      </w:r>
      <w:bookmarkStart w:id="25" w:name="OLE_LINK8"/>
      <w:r>
        <w:rPr>
          <w:sz w:val="24"/>
          <w:szCs w:val="24"/>
        </w:rPr>
        <w:t>MXenes</w:t>
      </w:r>
      <w:bookmarkEnd w:id="25"/>
      <w:r>
        <w:rPr>
          <w:sz w:val="24"/>
          <w:szCs w:val="24"/>
        </w:rPr>
        <w:t>已被证明在理论上是可行的</w:t>
      </w:r>
      <w:r>
        <w:rPr>
          <w:sz w:val="24"/>
          <w:szCs w:val="24"/>
        </w:rPr>
        <w:fldChar w:fldCharType="begin"/>
      </w:r>
      <w:r>
        <w:rPr>
          <w:sz w:val="24"/>
          <w:szCs w:val="24"/>
        </w:rPr>
        <w:instrText xml:space="preserve"> ADDIN EN.CITE &lt;EndNote&gt;&lt;Cite&gt;&lt;Author&gt;Anasori&lt;/Author&gt;&lt;Year&gt;2017&lt;/Year&gt;&lt;RecNum&gt;745&lt;/RecNum&gt;&lt;DisplayText&gt;&lt;style face="superscript"&gt;5&lt;/style&gt;&lt;/DisplayText&gt;&lt;record&gt;&lt;rec-number&gt;745&lt;/rec-number&gt;&lt;foreign-keys&gt;&lt;key app="EN" db-id="5rrvsre999902pep9fb5vzfmxtx2s0vssz29" timestamp="1693362247"&gt;745&lt;/key&gt;&lt;/foreign-keys&gt;&lt;ref-type name="Journal Article"&gt;17&lt;/ref-type&gt;&lt;contributors&gt;&lt;authors&gt;&lt;author&gt;Anasori, Babak&lt;/author&gt;&lt;author&gt;Lukatskaya, Maria R.&lt;/author&gt;&lt;author&gt;Gogotsi, Yury&lt;/author&gt;&lt;/authors&gt;&lt;/contributors&gt;&lt;titles&gt;&lt;title&gt;2D metal carbides and nitrides (MXenes) for energy storage&lt;/title&gt;&lt;secondary-title&gt;Nature Reviews Materials&lt;/secondary-title&gt;&lt;/titles&gt;&lt;periodical&gt;&lt;full-title&gt;Nature Reviews Materials&lt;/full-title&gt;&lt;/periodical&gt;&lt;pages&gt;16098&lt;/pages&gt;&lt;volume&gt;2&lt;/volume&gt;&lt;number&gt;2&lt;/number&gt;&lt;dates&gt;&lt;year&gt;2017&lt;/year&gt;&lt;pub-dates&gt;&lt;date&gt;2017/01/17&lt;/date&gt;&lt;/pub-dates&gt;&lt;/dates&gt;&lt;isbn&gt;2058-8437&lt;/isbn&gt;&lt;urls&gt;&lt;related-urls&gt;&lt;url&gt;https://doi.org/10.1038/natrevmats.2016.98&lt;/url&gt;&lt;/related-urls&gt;&lt;/urls&gt;&lt;electronic-resource-num&gt;10.1038/natrevmats.2016.98&lt;/electronic-resource-num&gt;&lt;/record&gt;&lt;/Cite&gt;&lt;/EndNote&gt;</w:instrText>
      </w:r>
      <w:r>
        <w:rPr>
          <w:sz w:val="24"/>
          <w:szCs w:val="24"/>
        </w:rPr>
        <w:fldChar w:fldCharType="separate"/>
      </w:r>
      <w:r>
        <w:rPr>
          <w:sz w:val="24"/>
          <w:szCs w:val="24"/>
          <w:vertAlign w:val="superscript"/>
        </w:rPr>
        <w:t>5</w:t>
      </w:r>
      <w:r>
        <w:rPr>
          <w:sz w:val="24"/>
          <w:szCs w:val="24"/>
        </w:rPr>
        <w:fldChar w:fldCharType="end"/>
      </w:r>
      <w:r>
        <w:rPr>
          <w:sz w:val="24"/>
          <w:szCs w:val="24"/>
        </w:rPr>
        <w:t>。</w:t>
      </w:r>
    </w:p>
    <w:p>
      <w:pPr>
        <w:spacing w:line="360" w:lineRule="auto"/>
        <w:ind w:firstLine="480" w:firstLineChars="200"/>
        <w:rPr>
          <w:sz w:val="24"/>
          <w:szCs w:val="24"/>
        </w:rPr>
      </w:pPr>
      <w:r>
        <w:rPr>
          <w:sz w:val="24"/>
          <w:szCs w:val="24"/>
        </w:rPr>
        <w:t>通过文献调研，可以通过表面端基物种修饰，掺杂过渡金属原子（TM）</w:t>
      </w:r>
      <w:r>
        <w:rPr>
          <w:rFonts w:hint="eastAsia"/>
          <w:sz w:val="24"/>
          <w:szCs w:val="24"/>
          <w:lang w:eastAsia="zh-CN"/>
        </w:rPr>
        <w:t>、</w:t>
      </w:r>
      <w:r>
        <w:rPr>
          <w:sz w:val="24"/>
          <w:szCs w:val="24"/>
        </w:rPr>
        <w:t>非金属原子（NM）</w:t>
      </w:r>
      <w:r>
        <w:rPr>
          <w:rFonts w:hint="eastAsia"/>
          <w:sz w:val="24"/>
          <w:szCs w:val="24"/>
          <w:lang w:eastAsia="zh-CN"/>
        </w:rPr>
        <w:t>、</w:t>
      </w:r>
      <w:r>
        <w:rPr>
          <w:sz w:val="24"/>
          <w:szCs w:val="24"/>
        </w:rPr>
        <w:t>调节厚度</w:t>
      </w:r>
      <w:r>
        <w:rPr>
          <w:rFonts w:hint="eastAsia"/>
          <w:sz w:val="24"/>
          <w:szCs w:val="24"/>
          <w:lang w:eastAsia="zh-CN"/>
        </w:rPr>
        <w:t>、</w:t>
      </w:r>
      <w:r>
        <w:rPr>
          <w:sz w:val="24"/>
          <w:szCs w:val="24"/>
        </w:rPr>
        <w:t>拉伸等手段提高MXene材料的HER催化活性。表面端基物种主要包含O</w:t>
      </w:r>
      <w:r>
        <w:rPr>
          <w:rFonts w:hint="eastAsia"/>
          <w:sz w:val="24"/>
          <w:szCs w:val="24"/>
        </w:rPr>
        <w:t>、</w:t>
      </w:r>
      <w:r>
        <w:rPr>
          <w:sz w:val="24"/>
          <w:szCs w:val="24"/>
        </w:rPr>
        <w:t>OH</w:t>
      </w:r>
      <w:r>
        <w:rPr>
          <w:rFonts w:hint="eastAsia"/>
          <w:sz w:val="24"/>
          <w:szCs w:val="24"/>
        </w:rPr>
        <w:t>、</w:t>
      </w:r>
      <w:r>
        <w:rPr>
          <w:sz w:val="24"/>
          <w:szCs w:val="24"/>
        </w:rPr>
        <w:t>F等基团，甘等人</w:t>
      </w:r>
      <w:r>
        <w:rPr>
          <w:sz w:val="24"/>
          <w:szCs w:val="24"/>
        </w:rPr>
        <w:fldChar w:fldCharType="begin"/>
      </w:r>
      <w:r>
        <w:rPr>
          <w:sz w:val="24"/>
          <w:szCs w:val="24"/>
        </w:rPr>
        <w:instrText xml:space="preserve"> ADDIN EN.CITE &lt;EndNote&gt;&lt;Cite&gt;&lt;Author&gt;Gan&lt;/Author&gt;&lt;Year&gt;2020&lt;/Year&gt;&lt;RecNum&gt;674&lt;/RecNum&gt;&lt;DisplayText&gt;&lt;style face="superscript"&gt;6&lt;/style&gt;&lt;/DisplayText&gt;&lt;record&gt;&lt;rec-number&gt;674&lt;/rec-number&gt;&lt;foreign-keys&gt;&lt;key app="EN" db-id="5rrvsre999902pep9fb5vzfmxtx2s0vssz29" timestamp="1675299616"&gt;674&lt;/key&gt;&lt;key app="ENWeb" db-id=""&gt;0&lt;/key&gt;&lt;/foreign-keys&gt;&lt;ref-type name="Journal Article"&gt;17&lt;/ref-type&gt;&lt;contributors&gt;&lt;authors&gt;&lt;author&gt;Gan, J.&lt;/author&gt;&lt;author&gt;Li, F.&lt;/author&gt;&lt;author&gt;Tang, Y.&lt;/author&gt;&lt;author&gt;Tang, Q.&lt;/author&gt;&lt;/authors&gt;&lt;/contributors&gt;&lt;auth-address&gt;School of Chemistry and Chemical Engineering, Chongqing Key Laboratory of Theoretical and Computational Chemistry, Chongqing University, Chongqing, 401331, P. R. China.&lt;/auth-address&gt;&lt;titles&gt;&lt;title&gt;Theoretical Study of Transition-Metal-Modified Mo(2) CO(2) MXene as a Catalyst for the Hydrogen Evolution Reaction&lt;/title&gt;&lt;secondary-title&gt;ChemSusChem&lt;/secondary-title&gt;&lt;/titles&gt;&lt;periodical&gt;&lt;full-title&gt;ChemSusChem&lt;/full-title&gt;&lt;/periodical&gt;&lt;pages&gt;6005-6015&lt;/pages&gt;&lt;volume&gt;13&lt;/volume&gt;&lt;number&gt;22&lt;/number&gt;&lt;edition&gt;2020/09/23&lt;/edition&gt;&lt;keywords&gt;&lt;keyword&gt;Mo2C MXene&lt;/keyword&gt;&lt;keyword&gt;density functional theory&lt;/keyword&gt;&lt;keyword&gt;hydrogen evolution reaction&lt;/keyword&gt;&lt;keyword&gt;metal doping&lt;/keyword&gt;&lt;keyword&gt;strain engineering&lt;/keyword&gt;&lt;/keywords&gt;&lt;dates&gt;&lt;year&gt;2020&lt;/year&gt;&lt;pub-dates&gt;&lt;date&gt;Nov 20&lt;/date&gt;&lt;/pub-dates&gt;&lt;/dates&gt;&lt;isbn&gt;1864-564X (Electronic)&amp;#xD;1864-5631 (Linking)&lt;/isbn&gt;&lt;accession-num&gt;32959977&lt;/accession-num&gt;&lt;urls&gt;&lt;related-urls&gt;&lt;url&gt;https://www.ncbi.nlm.nih.gov/pubmed/32959977&lt;/url&gt;&lt;/related-urls&gt;&lt;/urls&gt;&lt;electronic-resource-num&gt;10.1002/cssc.202002163&lt;/electronic-resource-num&gt;&lt;/record&gt;&lt;/Cite&gt;&lt;/EndNote&gt;</w:instrText>
      </w:r>
      <w:r>
        <w:rPr>
          <w:sz w:val="24"/>
          <w:szCs w:val="24"/>
        </w:rPr>
        <w:fldChar w:fldCharType="separate"/>
      </w:r>
      <w:r>
        <w:rPr>
          <w:sz w:val="24"/>
          <w:szCs w:val="24"/>
          <w:vertAlign w:val="superscript"/>
        </w:rPr>
        <w:t>6</w:t>
      </w:r>
      <w:r>
        <w:rPr>
          <w:sz w:val="24"/>
          <w:szCs w:val="24"/>
        </w:rPr>
        <w:fldChar w:fldCharType="end"/>
      </w:r>
      <w:r>
        <w:rPr>
          <w:sz w:val="24"/>
          <w:szCs w:val="24"/>
        </w:rPr>
        <w:t>通过表面相图计算，发现在标况下，</w:t>
      </w:r>
      <w:bookmarkStart w:id="26" w:name="OLE_LINK59"/>
      <w:r>
        <w:rPr>
          <w:sz w:val="24"/>
          <w:szCs w:val="24"/>
        </w:rPr>
        <w:t>Mo</w:t>
      </w:r>
      <w:r>
        <w:rPr>
          <w:sz w:val="24"/>
          <w:szCs w:val="24"/>
          <w:vertAlign w:val="subscript"/>
        </w:rPr>
        <w:t>2</w:t>
      </w:r>
      <w:r>
        <w:rPr>
          <w:sz w:val="24"/>
          <w:szCs w:val="24"/>
        </w:rPr>
        <w:t>C</w:t>
      </w:r>
      <w:bookmarkEnd w:id="26"/>
      <w:r>
        <w:rPr>
          <w:sz w:val="24"/>
          <w:szCs w:val="24"/>
        </w:rPr>
        <w:t>表面完全被O所覆盖形成Mo</w:t>
      </w:r>
      <w:r>
        <w:rPr>
          <w:sz w:val="24"/>
          <w:szCs w:val="24"/>
          <w:vertAlign w:val="subscript"/>
        </w:rPr>
        <w:t>2</w:t>
      </w:r>
      <w:r>
        <w:rPr>
          <w:sz w:val="24"/>
          <w:szCs w:val="24"/>
        </w:rPr>
        <w:t>CO</w:t>
      </w:r>
      <w:r>
        <w:rPr>
          <w:sz w:val="24"/>
          <w:szCs w:val="24"/>
          <w:vertAlign w:val="subscript"/>
        </w:rPr>
        <w:t>2</w:t>
      </w:r>
      <w:r>
        <w:rPr>
          <w:sz w:val="24"/>
          <w:szCs w:val="24"/>
        </w:rPr>
        <w:t>，在计算生成热时，Mohnish等人</w:t>
      </w:r>
      <w:r>
        <w:rPr>
          <w:sz w:val="24"/>
          <w:szCs w:val="24"/>
        </w:rPr>
        <w:fldChar w:fldCharType="begin"/>
      </w:r>
      <w:r>
        <w:rPr>
          <w:sz w:val="24"/>
          <w:szCs w:val="24"/>
        </w:rPr>
        <w:instrText xml:space="preserve"> ADDIN EN.CITE &lt;EndNote&gt;&lt;Cite&gt;&lt;Author&gt;Pandey&lt;/Author&gt;&lt;Year&gt;2017&lt;/Year&gt;&lt;RecNum&gt;740&lt;/RecNum&gt;&lt;DisplayText&gt;&lt;style face="superscript"&gt;7&lt;/style&gt;&lt;/DisplayText&gt;&lt;record&gt;&lt;rec-number&gt;740&lt;/rec-number&gt;&lt;foreign-keys&gt;&lt;key app="EN" db-id="5rrvsre999902pep9fb5vzfmxtx2s0vssz29" timestamp="1693294633"&gt;740&lt;/key&gt;&lt;/foreign-keys&gt;&lt;ref-type name="Journal Article"&gt;17&lt;/ref-type&gt;&lt;contributors&gt;&lt;authors&gt;&lt;author&gt;Pandey, Mohnish&lt;/author&gt;&lt;author&gt;Thygesen, Kristian S.&lt;/author&gt;&lt;/authors&gt;&lt;/contributors&gt;&lt;titles&gt;&lt;title&gt;Two-Dimensional MXenes as Catalysts for Electrochemical Hydrogen Evolution: A Computational Screening Study&lt;/title&gt;&lt;secondary-title&gt;The Journal of Physical Chemistry C&lt;/secondary-title&gt;&lt;/titles&gt;&lt;periodical&gt;&lt;full-title&gt;The Journal of Physical Chemistry C&lt;/full-title&gt;&lt;abbr-1&gt;J. Phys. Chem. C&lt;/abbr-1&gt;&lt;/periodical&gt;&lt;pages&gt;13593-13598&lt;/pages&gt;&lt;volume&gt;121&lt;/volume&gt;&lt;number&gt;25&lt;/number&gt;&lt;dates&gt;&lt;year&gt;2017&lt;/year&gt;&lt;pub-dates&gt;&lt;date&gt;2017/06/29&lt;/date&gt;&lt;/pub-dates&gt;&lt;/dates&gt;&lt;publisher&gt;American Chemical Society&lt;/publisher&gt;&lt;isbn&gt;1932-7447&lt;/isbn&gt;&lt;urls&gt;&lt;related-urls&gt;&lt;url&gt;https://doi.org/10.1021/acs.jpcc.7b05270&lt;/url&gt;&lt;/related-urls&gt;&lt;/urls&gt;&lt;electronic-resource-num&gt;10.1021/acs.jpcc.7b05270&lt;/electronic-resource-num&gt;&lt;/record&gt;&lt;/Cite&gt;&lt;/EndNote&gt;</w:instrText>
      </w:r>
      <w:r>
        <w:rPr>
          <w:sz w:val="24"/>
          <w:szCs w:val="24"/>
        </w:rPr>
        <w:fldChar w:fldCharType="separate"/>
      </w:r>
      <w:r>
        <w:rPr>
          <w:sz w:val="24"/>
          <w:szCs w:val="24"/>
          <w:vertAlign w:val="superscript"/>
        </w:rPr>
        <w:t>7</w:t>
      </w:r>
      <w:r>
        <w:rPr>
          <w:sz w:val="24"/>
          <w:szCs w:val="24"/>
        </w:rPr>
        <w:fldChar w:fldCharType="end"/>
      </w:r>
      <w:r>
        <w:rPr>
          <w:sz w:val="24"/>
          <w:szCs w:val="24"/>
        </w:rPr>
        <w:t>发现，在没有表面物种钝化表面的情况下，大多数MXenes是不稳定的。</w:t>
      </w:r>
      <w:bookmarkStart w:id="27" w:name="OLE_LINK38"/>
      <w:r>
        <w:rPr>
          <w:sz w:val="24"/>
          <w:szCs w:val="24"/>
        </w:rPr>
        <w:t>在掺杂非金属和金属原子改性方面，高等人</w:t>
      </w:r>
      <w:r>
        <w:rPr>
          <w:sz w:val="24"/>
          <w:szCs w:val="24"/>
        </w:rPr>
        <w:fldChar w:fldCharType="begin"/>
      </w:r>
      <w:r>
        <w:rPr>
          <w:sz w:val="24"/>
          <w:szCs w:val="24"/>
        </w:rPr>
        <w:instrText xml:space="preserve"> ADDIN EN.CITE &lt;EndNote&gt;&lt;Cite&gt;&lt;Author&gt;Gao&lt;/Author&gt;&lt;Year&gt;2019&lt;/Year&gt;&lt;RecNum&gt;707&lt;/RecNum&gt;&lt;DisplayText&gt;&lt;style face="superscript"&gt;8&lt;/style&gt;&lt;/DisplayText&gt;&lt;record&gt;&lt;rec-number&gt;707&lt;/rec-number&gt;&lt;foreign-keys&gt;&lt;key app="EN" db-id="5rrvsre999902pep9fb5vzfmxtx2s0vssz29" timestamp="1677031298"&gt;707&lt;/key&gt;&lt;/foreign-keys&gt;&lt;ref-type name="Journal Article"&gt;17&lt;/ref-type&gt;&lt;contributors&gt;&lt;authors&gt;&lt;author&gt;Gao, Yijing&lt;/author&gt;&lt;author&gt;Cao, Yongyong&lt;/author&gt;&lt;author&gt;Gu, Yongbing&lt;/author&gt;&lt;author&gt;Zhuo, Han&lt;/author&gt;&lt;author&gt;Zhuang, Guilin&lt;/author&gt;&lt;author&gt;Deng, Shengwei&lt;/author&gt;&lt;author&gt;Zhong, Xing&lt;/author&gt;&lt;author&gt;Wei, Zhongzhe&lt;/author&gt;&lt;author&gt;Chen, Jianhua&lt;/author&gt;&lt;author&gt;Pan, Xiang&lt;/author&gt;&lt;author&gt;Wang, Jian-guo&lt;/author&gt;&lt;/authors&gt;&lt;/contributors&gt;&lt;titles&gt;&lt;title&gt;Functionalization Ti3C2 MXene by the adsorption or substitution of single metal atom&lt;/title&gt;&lt;secondary-title&gt;Applied Surface Science&lt;/secondary-title&gt;&lt;/titles&gt;&lt;periodical&gt;&lt;full-title&gt;Applied Surface Science&lt;/full-title&gt;&lt;/periodical&gt;&lt;pages&gt;911-918&lt;/pages&gt;&lt;volume&gt;465&lt;/volume&gt;&lt;keywords&gt;&lt;keyword&gt;MXenes&lt;/keyword&gt;&lt;keyword&gt;Functionalization&lt;/keyword&gt;&lt;keyword&gt;Transition metal&lt;/keyword&gt;&lt;keyword&gt;Density functional theory&lt;/keyword&gt;&lt;/keywords&gt;&lt;dates&gt;&lt;year&gt;2019&lt;/year&gt;&lt;pub-dates&gt;&lt;date&gt;2019/01/28/&lt;/date&gt;&lt;/pub-dates&gt;&lt;/dates&gt;&lt;isbn&gt;0169-4332&lt;/isbn&gt;&lt;urls&gt;&lt;related-urls&gt;&lt;url&gt;https://www.sciencedirect.com/science/article/pii/S0169433218326862&lt;/url&gt;&lt;/related-urls&gt;&lt;/urls&gt;&lt;electronic-resource-num&gt;https://doi.org/10.1016/j.apsusc.2018.09.254&lt;/electronic-resource-num&gt;&lt;/record&gt;&lt;/Cite&gt;&lt;/EndNote&gt;</w:instrText>
      </w:r>
      <w:r>
        <w:rPr>
          <w:sz w:val="24"/>
          <w:szCs w:val="24"/>
        </w:rPr>
        <w:fldChar w:fldCharType="separate"/>
      </w:r>
      <w:r>
        <w:rPr>
          <w:sz w:val="24"/>
          <w:szCs w:val="24"/>
          <w:vertAlign w:val="superscript"/>
        </w:rPr>
        <w:t>8</w:t>
      </w:r>
      <w:r>
        <w:rPr>
          <w:sz w:val="24"/>
          <w:szCs w:val="24"/>
        </w:rPr>
        <w:fldChar w:fldCharType="end"/>
      </w:r>
      <w:r>
        <w:rPr>
          <w:sz w:val="24"/>
          <w:szCs w:val="24"/>
        </w:rPr>
        <w:t>通过计算过渡金属原子吸附能和电子结构信息发现，单原子吸附或取代能够改善功能化Ti</w:t>
      </w:r>
      <w:r>
        <w:rPr>
          <w:sz w:val="24"/>
          <w:szCs w:val="24"/>
          <w:vertAlign w:val="subscript"/>
        </w:rPr>
        <w:t>3</w:t>
      </w:r>
      <w:r>
        <w:rPr>
          <w:sz w:val="24"/>
          <w:szCs w:val="24"/>
        </w:rPr>
        <w:t>C</w:t>
      </w:r>
      <w:r>
        <w:rPr>
          <w:sz w:val="24"/>
          <w:szCs w:val="24"/>
          <w:vertAlign w:val="subscript"/>
        </w:rPr>
        <w:t>2</w:t>
      </w:r>
      <w:r>
        <w:rPr>
          <w:sz w:val="24"/>
          <w:szCs w:val="24"/>
        </w:rPr>
        <w:t>材料的催化活性。李等人</w:t>
      </w:r>
      <w:r>
        <w:rPr>
          <w:sz w:val="24"/>
          <w:szCs w:val="24"/>
        </w:rPr>
        <w:fldChar w:fldCharType="begin"/>
      </w:r>
      <w:r>
        <w:rPr>
          <w:sz w:val="24"/>
          <w:szCs w:val="24"/>
        </w:rPr>
        <w:instrText xml:space="preserve"> ADDIN EN.CITE &lt;EndNote&gt;&lt;Cite&gt;&lt;Author&gt;Gu&lt;/Author&gt;&lt;Year&gt;2021&lt;/Year&gt;&lt;RecNum&gt;727&lt;/RecNum&gt;&lt;DisplayText&gt;&lt;style face="superscript"&gt;9&lt;/style&gt;&lt;/DisplayText&gt;&lt;record&gt;&lt;rec-number&gt;727&lt;/rec-number&gt;&lt;foreign-keys&gt;&lt;key app="EN" db-id="5rrvsre999902pep9fb5vzfmxtx2s0vssz29" timestamp="1681801044"&gt;727&lt;/key&gt;&lt;key app="ENWeb" db-id=""&gt;0&lt;/key&gt;&lt;/foreign-keys&gt;&lt;ref-type name="Journal Article"&gt;17&lt;/ref-type&gt;&lt;contributors&gt;&lt;authors&gt;&lt;author&gt;Gu, Yitao&lt;/author&gt;&lt;author&gt;Wei, Bo&lt;/author&gt;&lt;author&gt;Legut, Dominik&lt;/author&gt;&lt;author&gt;Fu, Zhongheng&lt;/author&gt;&lt;author&gt;Du, Shiyu&lt;/author&gt;&lt;author&gt;Zhang, Haijun&lt;/author&gt;&lt;author&gt;Francisco, Joseph S.&lt;/author&gt;&lt;author&gt;Zhang, Ruifeng&lt;/author&gt;&lt;/authors&gt;&lt;/contributors&gt;&lt;titles&gt;&lt;title&gt;Single Atom‐Modified Hybrid Transition Metal Carbides as Efficient Hydrogen Evolution Reaction Catalysts&lt;/title&gt;&lt;secondary-title&gt;Advanced Functional Materials&lt;/secondary-title&gt;&lt;/titles&gt;&lt;periodical&gt;&lt;full-title&gt;Advanced Functional Materials&lt;/full-title&gt;&lt;abbr-1&gt;Adv. Funct. Mater.&lt;/abbr-1&gt;&lt;abbr-2&gt;Adv Funct Mater&lt;/abbr-2&gt;&lt;/periodical&gt;&lt;volume&gt;31&lt;/volume&gt;&lt;number&gt;43&lt;/number&gt;&lt;section&gt;2104285&lt;/section&gt;&lt;dates&gt;&lt;year&gt;2021&lt;/year&gt;&lt;/dates&gt;&lt;isbn&gt;1616-301X&amp;#xD;1616-3028&lt;/isbn&gt;&lt;urls&gt;&lt;/urls&gt;&lt;electronic-resource-num&gt;10.1002/adfm.202104285&lt;/electronic-resource-num&gt;&lt;/record&gt;&lt;/Cite&gt;&lt;/EndNote&gt;</w:instrText>
      </w:r>
      <w:r>
        <w:rPr>
          <w:sz w:val="24"/>
          <w:szCs w:val="24"/>
        </w:rPr>
        <w:fldChar w:fldCharType="separate"/>
      </w:r>
      <w:r>
        <w:rPr>
          <w:sz w:val="24"/>
          <w:szCs w:val="24"/>
          <w:vertAlign w:val="superscript"/>
        </w:rPr>
        <w:t>9</w:t>
      </w:r>
      <w:r>
        <w:rPr>
          <w:sz w:val="24"/>
          <w:szCs w:val="24"/>
        </w:rPr>
        <w:fldChar w:fldCharType="end"/>
      </w:r>
      <w:r>
        <w:rPr>
          <w:sz w:val="24"/>
          <w:szCs w:val="24"/>
        </w:rPr>
        <w:t>研究了TiCO</w:t>
      </w:r>
      <w:r>
        <w:rPr>
          <w:sz w:val="24"/>
          <w:szCs w:val="24"/>
          <w:vertAlign w:val="subscript"/>
        </w:rPr>
        <w:t>2</w:t>
      </w:r>
      <w:r>
        <w:rPr>
          <w:sz w:val="24"/>
          <w:szCs w:val="24"/>
        </w:rPr>
        <w:t>负载</w:t>
      </w:r>
      <w:bookmarkStart w:id="28" w:name="OLE_LINK7"/>
      <w:r>
        <w:rPr>
          <w:sz w:val="24"/>
          <w:szCs w:val="24"/>
        </w:rPr>
        <w:t>过渡金属</w:t>
      </w:r>
      <w:bookmarkEnd w:id="28"/>
      <w:r>
        <w:rPr>
          <w:sz w:val="24"/>
          <w:szCs w:val="24"/>
        </w:rPr>
        <w:t>单原子，发现Ti-</w:t>
      </w:r>
      <w:r>
        <w:rPr>
          <w:rFonts w:hint="eastAsia"/>
          <w:sz w:val="24"/>
          <w:szCs w:val="24"/>
          <w:lang w:eastAsia="zh-CN"/>
        </w:rPr>
        <w:t>、</w:t>
      </w:r>
      <w:r>
        <w:rPr>
          <w:sz w:val="24"/>
          <w:szCs w:val="24"/>
        </w:rPr>
        <w:t>Rh-</w:t>
      </w:r>
      <w:r>
        <w:rPr>
          <w:rFonts w:hint="eastAsia"/>
          <w:sz w:val="24"/>
          <w:szCs w:val="24"/>
          <w:lang w:eastAsia="zh-CN"/>
        </w:rPr>
        <w:t>、</w:t>
      </w:r>
      <w:r>
        <w:rPr>
          <w:sz w:val="24"/>
          <w:szCs w:val="24"/>
        </w:rPr>
        <w:t>Ir-和Pt-TiCO</w:t>
      </w:r>
      <w:r>
        <w:rPr>
          <w:sz w:val="24"/>
          <w:szCs w:val="24"/>
          <w:vertAlign w:val="subscript"/>
        </w:rPr>
        <w:t>2</w:t>
      </w:r>
      <w:r>
        <w:rPr>
          <w:sz w:val="24"/>
          <w:szCs w:val="24"/>
        </w:rPr>
        <w:t>具有较低的氢吸附自由能，TM的存在能够降低氢气脱附反应的自由能和提高HER的效率。</w:t>
      </w:r>
    </w:p>
    <w:bookmarkEnd w:id="27"/>
    <w:p>
      <w:pPr>
        <w:adjustRightInd w:val="0"/>
        <w:snapToGrid w:val="0"/>
        <w:spacing w:line="360" w:lineRule="auto"/>
        <w:ind w:firstLine="480" w:firstLineChars="200"/>
        <w:rPr>
          <w:rStyle w:val="20"/>
          <w:sz w:val="24"/>
          <w:szCs w:val="24"/>
        </w:rPr>
      </w:pPr>
      <w:r>
        <w:rPr>
          <w:sz w:val="24"/>
          <w:szCs w:val="24"/>
        </w:rPr>
        <w:t>目前研究较多的是Mo</w:t>
      </w:r>
      <w:r>
        <w:rPr>
          <w:sz w:val="24"/>
          <w:szCs w:val="24"/>
          <w:vertAlign w:val="subscript"/>
        </w:rPr>
        <w:t>2</w:t>
      </w:r>
      <w:r>
        <w:rPr>
          <w:sz w:val="24"/>
          <w:szCs w:val="24"/>
        </w:rPr>
        <w:t>C</w:t>
      </w:r>
      <w:r>
        <w:rPr>
          <w:rFonts w:hint="eastAsia"/>
          <w:sz w:val="24"/>
          <w:szCs w:val="24"/>
          <w:lang w:eastAsia="zh-CN"/>
        </w:rPr>
        <w:t>、</w:t>
      </w:r>
      <w:r>
        <w:rPr>
          <w:sz w:val="24"/>
          <w:szCs w:val="24"/>
        </w:rPr>
        <w:t>Ti</w:t>
      </w:r>
      <w:r>
        <w:rPr>
          <w:sz w:val="24"/>
          <w:szCs w:val="24"/>
          <w:vertAlign w:val="subscript"/>
        </w:rPr>
        <w:t>2</w:t>
      </w:r>
      <w:r>
        <w:rPr>
          <w:sz w:val="24"/>
          <w:szCs w:val="24"/>
        </w:rPr>
        <w:t>C</w:t>
      </w:r>
      <w:r>
        <w:rPr>
          <w:rFonts w:hint="eastAsia"/>
          <w:sz w:val="24"/>
          <w:szCs w:val="24"/>
          <w:lang w:eastAsia="zh-CN"/>
        </w:rPr>
        <w:t>、</w:t>
      </w:r>
      <w:r>
        <w:rPr>
          <w:sz w:val="24"/>
          <w:szCs w:val="24"/>
        </w:rPr>
        <w:t>Ti</w:t>
      </w:r>
      <w:r>
        <w:rPr>
          <w:sz w:val="24"/>
          <w:szCs w:val="24"/>
          <w:vertAlign w:val="subscript"/>
        </w:rPr>
        <w:t>3</w:t>
      </w:r>
      <w:r>
        <w:rPr>
          <w:sz w:val="24"/>
          <w:szCs w:val="24"/>
        </w:rPr>
        <w:t>C</w:t>
      </w:r>
      <w:r>
        <w:rPr>
          <w:sz w:val="24"/>
          <w:szCs w:val="24"/>
          <w:vertAlign w:val="subscript"/>
        </w:rPr>
        <w:t>2</w:t>
      </w:r>
      <w:r>
        <w:rPr>
          <w:sz w:val="24"/>
          <w:szCs w:val="24"/>
        </w:rPr>
        <w:t>等上下表面一致的MXenes材料，而对于上下表面不一致的</w:t>
      </w:r>
      <w:bookmarkStart w:id="29" w:name="OLE_LINK11"/>
      <w:bookmarkStart w:id="30" w:name="OLE_LINK10"/>
      <w:r>
        <w:rPr>
          <w:rStyle w:val="20"/>
          <w:sz w:val="24"/>
          <w:szCs w:val="24"/>
        </w:rPr>
        <w:t>TiVC</w:t>
      </w:r>
      <w:bookmarkEnd w:id="29"/>
      <w:r>
        <w:rPr>
          <w:rStyle w:val="20"/>
          <w:sz w:val="24"/>
          <w:szCs w:val="24"/>
        </w:rPr>
        <w:t>材料</w:t>
      </w:r>
      <w:bookmarkEnd w:id="30"/>
      <w:r>
        <w:rPr>
          <w:rStyle w:val="20"/>
          <w:sz w:val="24"/>
          <w:szCs w:val="24"/>
        </w:rPr>
        <w:t>研究的较少，王等人</w:t>
      </w:r>
      <w:r>
        <w:rPr>
          <w:rStyle w:val="20"/>
          <w:sz w:val="24"/>
          <w:szCs w:val="24"/>
        </w:rPr>
        <w:fldChar w:fldCharType="begin">
          <w:fldData xml:space="preserve">PEVuZE5vdGU+PENpdGU+PEF1dGhvcj5MaW5nPC9BdXRob3I+PFllYXI+MjAxNjwvWWVhcj48UmVj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</w:fldData>
        </w:fldChar>
      </w:r>
      <w:r>
        <w:rPr>
          <w:rStyle w:val="20"/>
          <w:sz w:val="24"/>
          <w:szCs w:val="24"/>
        </w:rPr>
        <w:instrText xml:space="preserve"> ADDIN EN.CITE </w:instrText>
      </w:r>
      <w:r>
        <w:rPr>
          <w:rStyle w:val="20"/>
          <w:sz w:val="24"/>
          <w:szCs w:val="24"/>
        </w:rPr>
        <w:fldChar w:fldCharType="begin">
          <w:fldData xml:space="preserve">PEVuZE5vdGU+PENpdGU+PEF1dGhvcj5MaW5nPC9BdXRob3I+PFllYXI+MjAxNjwvWWVhcj48UmVj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</w:fldData>
        </w:fldChar>
      </w:r>
      <w:r>
        <w:rPr>
          <w:rStyle w:val="20"/>
          <w:sz w:val="24"/>
          <w:szCs w:val="24"/>
        </w:rPr>
        <w:instrText xml:space="preserve"> ADDIN EN.CITE.DATA </w:instrText>
      </w:r>
      <w:r>
        <w:rPr>
          <w:rStyle w:val="20"/>
          <w:sz w:val="24"/>
          <w:szCs w:val="24"/>
        </w:rPr>
        <w:fldChar w:fldCharType="separate"/>
      </w:r>
      <w:r>
        <w:rPr>
          <w:rStyle w:val="20"/>
          <w:sz w:val="24"/>
          <w:szCs w:val="24"/>
        </w:rPr>
        <w:fldChar w:fldCharType="end"/>
      </w:r>
      <w:r>
        <w:rPr>
          <w:rStyle w:val="20"/>
          <w:sz w:val="24"/>
          <w:szCs w:val="24"/>
        </w:rPr>
        <w:fldChar w:fldCharType="separate"/>
      </w:r>
      <w:r>
        <w:rPr>
          <w:color w:val="000000"/>
          <w:sz w:val="24"/>
          <w:szCs w:val="24"/>
          <w:vertAlign w:val="superscript"/>
        </w:rPr>
        <w:t>10</w:t>
      </w:r>
      <w:r>
        <w:rPr>
          <w:rStyle w:val="20"/>
          <w:sz w:val="24"/>
          <w:szCs w:val="24"/>
        </w:rPr>
        <w:fldChar w:fldCharType="end"/>
      </w:r>
      <w:r>
        <w:rPr>
          <w:rStyle w:val="20"/>
          <w:sz w:val="24"/>
          <w:szCs w:val="24"/>
        </w:rPr>
        <w:t>通过高通量筛选证明TiVC材料具有较好的HER性能，因此，我们以TiVC研究对象，对其进行改性，进一步提高其HER催化性能。</w:t>
      </w:r>
    </w:p>
    <w:p>
      <w:pPr>
        <w:adjustRightInd w:val="0"/>
        <w:snapToGrid w:val="0"/>
        <w:spacing w:line="360" w:lineRule="auto"/>
        <w:ind w:firstLine="480" w:firstLineChars="200"/>
        <w:rPr>
          <w:rStyle w:val="20"/>
          <w:sz w:val="24"/>
          <w:szCs w:val="24"/>
        </w:rPr>
      </w:pPr>
    </w:p>
    <w:bookmarkEnd w:id="23"/>
    <w:p>
      <w:pPr>
        <w:rPr>
          <w:rStyle w:val="20"/>
          <w:szCs w:val="24"/>
        </w:rPr>
      </w:pPr>
      <w:r>
        <w:rPr>
          <w:rStyle w:val="20"/>
          <w:szCs w:val="24"/>
        </w:rPr>
        <w:br w:type="page"/>
      </w:r>
    </w:p>
    <w:p>
      <w:pPr>
        <w:pStyle w:val="4"/>
        <w:rPr>
          <w:rStyle w:val="20"/>
          <w:szCs w:val="24"/>
        </w:rPr>
      </w:pPr>
      <w:bookmarkStart w:id="31" w:name="_Toc6304"/>
      <w:r>
        <w:rPr>
          <w:rStyle w:val="20"/>
          <w:szCs w:val="24"/>
        </w:rPr>
        <w:t xml:space="preserve">2.1.1 </w:t>
      </w:r>
      <w:bookmarkStart w:id="32" w:name="OLE_LINK23"/>
      <w:r>
        <w:rPr>
          <w:rStyle w:val="20"/>
          <w:szCs w:val="24"/>
        </w:rPr>
        <w:t>TiVC MXenes催化</w:t>
      </w:r>
      <w:r>
        <w:rPr>
          <w:rStyle w:val="20"/>
          <w:rFonts w:hint="eastAsia"/>
          <w:szCs w:val="24"/>
        </w:rPr>
        <w:t>HER反应</w:t>
      </w:r>
      <w:r>
        <w:rPr>
          <w:rStyle w:val="20"/>
          <w:szCs w:val="24"/>
        </w:rPr>
        <w:t>机理研究</w:t>
      </w:r>
      <w:bookmarkEnd w:id="31"/>
      <w:bookmarkEnd w:id="32"/>
    </w:p>
    <w:p>
      <w:pPr>
        <w:spacing w:line="360" w:lineRule="auto"/>
        <w:ind w:firstLine="480" w:firstLineChars="200"/>
        <w:jc w:val="left"/>
        <w:rPr>
          <w:sz w:val="24"/>
          <w:szCs w:val="24"/>
        </w:rPr>
      </w:pPr>
      <w:bookmarkStart w:id="33" w:name="OLE_LINK15"/>
      <w:r>
        <w:rPr>
          <w:rFonts w:hint="eastAsia"/>
          <w:sz w:val="24"/>
          <w:szCs w:val="24"/>
        </w:rPr>
        <w:t>（</w:t>
      </w:r>
      <w:r>
        <w:rPr>
          <w:sz w:val="24"/>
          <w:szCs w:val="24"/>
        </w:rPr>
        <w:t>1</w:t>
      </w:r>
      <w:r>
        <w:rPr>
          <w:rFonts w:hint="eastAsia"/>
          <w:sz w:val="24"/>
          <w:szCs w:val="24"/>
        </w:rPr>
        <w:t>）</w:t>
      </w:r>
      <w:r>
        <w:rPr>
          <w:sz w:val="24"/>
          <w:szCs w:val="24"/>
        </w:rPr>
        <w:t xml:space="preserve"> </w:t>
      </w:r>
      <w:bookmarkEnd w:id="33"/>
      <w:r>
        <w:rPr>
          <w:sz w:val="24"/>
          <w:szCs w:val="24"/>
        </w:rPr>
        <w:t>HER反应机理</w:t>
      </w:r>
    </w:p>
    <w:p>
      <w:pPr>
        <w:spacing w:line="360" w:lineRule="auto"/>
        <w:ind w:firstLine="480" w:firstLineChars="200"/>
        <w:rPr>
          <w:sz w:val="24"/>
          <w:szCs w:val="24"/>
        </w:rPr>
      </w:pPr>
      <w:bookmarkStart w:id="34" w:name="OLE_LINK43"/>
      <w:r>
        <w:rPr>
          <w:sz w:val="24"/>
          <w:szCs w:val="24"/>
        </w:rPr>
        <w:t>电解水制氢时，质子或水合氢离子在阴极得到电子，发生还原反应，生成H</w:t>
      </w:r>
      <w:r>
        <w:rPr>
          <w:sz w:val="24"/>
          <w:szCs w:val="24"/>
          <w:vertAlign w:val="subscript"/>
        </w:rPr>
        <w:t>2</w:t>
      </w:r>
      <w:r>
        <w:rPr>
          <w:sz w:val="24"/>
          <w:szCs w:val="24"/>
        </w:rPr>
        <w:t>析出，该过程简称为</w:t>
      </w:r>
      <w:r>
        <w:rPr>
          <w:rFonts w:hint="eastAsia"/>
          <w:sz w:val="24"/>
          <w:szCs w:val="24"/>
        </w:rPr>
        <w:t>析氢</w:t>
      </w:r>
      <w:r>
        <w:rPr>
          <w:sz w:val="24"/>
          <w:szCs w:val="24"/>
        </w:rPr>
        <w:t>反应</w:t>
      </w:r>
      <w:r>
        <w:rPr>
          <w:rFonts w:hint="eastAsia"/>
          <w:sz w:val="24"/>
          <w:szCs w:val="24"/>
        </w:rPr>
        <w:t>（</w:t>
      </w:r>
      <w:r>
        <w:rPr>
          <w:sz w:val="24"/>
          <w:szCs w:val="24"/>
        </w:rPr>
        <w:t>HER</w:t>
      </w:r>
      <w:r>
        <w:rPr>
          <w:rFonts w:hint="eastAsia"/>
          <w:sz w:val="24"/>
          <w:szCs w:val="24"/>
        </w:rPr>
        <w:t>）</w:t>
      </w:r>
      <w:r>
        <w:rPr>
          <w:sz w:val="24"/>
          <w:szCs w:val="24"/>
        </w:rPr>
        <w:t>。HER可基于Volmer-Heyrovsky机制或Volmer-Tafel机制发生，碱性和酸性条件的演化步骤相似。</w:t>
      </w:r>
    </w:p>
    <w:p>
      <w:pPr>
        <w:widowControl/>
        <w:jc w:val="left"/>
      </w:pPr>
      <w:bookmarkStart w:id="35" w:name="OLE_LINK13"/>
      <w:r>
        <w:rPr>
          <w:kern w:val="0"/>
          <w:sz w:val="25"/>
          <w:szCs w:val="25"/>
          <w:lang w:bidi="ar"/>
        </w:rPr>
        <w:t>碱性条件下HER的步骤如下：</w:t>
      </w:r>
    </w:p>
    <w:bookmarkEnd w:id="35"/>
    <w:p>
      <w:pPr>
        <w:pStyle w:val="14"/>
        <w:widowControl/>
        <w:spacing w:beforeAutospacing="0" w:afterAutospacing="0" w:line="360" w:lineRule="auto"/>
        <w:jc w:val="center"/>
        <w:rPr>
          <w:szCs w:val="24"/>
        </w:rPr>
      </w:pPr>
      <w:r>
        <w:rPr>
          <w:color w:val="222A35"/>
          <w:spacing w:val="8"/>
          <w:szCs w:val="24"/>
          <w:shd w:val="clear" w:color="auto" w:fill="FFFFFF"/>
        </w:rPr>
        <w:t>H</w:t>
      </w:r>
      <w:r>
        <w:rPr>
          <w:color w:val="222A35"/>
          <w:spacing w:val="8"/>
          <w:szCs w:val="24"/>
          <w:shd w:val="clear" w:color="auto" w:fill="FFFFFF"/>
          <w:vertAlign w:val="subscript"/>
        </w:rPr>
        <w:t>2</w:t>
      </w:r>
      <w:r>
        <w:rPr>
          <w:color w:val="222A35"/>
          <w:spacing w:val="8"/>
          <w:szCs w:val="24"/>
          <w:shd w:val="clear" w:color="auto" w:fill="FFFFFF"/>
        </w:rPr>
        <w:t>O + e</w:t>
      </w:r>
      <w:r>
        <w:rPr>
          <w:color w:val="222A35"/>
          <w:spacing w:val="8"/>
          <w:szCs w:val="24"/>
          <w:shd w:val="clear" w:color="auto" w:fill="FFFFFF"/>
          <w:vertAlign w:val="superscript"/>
        </w:rPr>
        <w:t>-</w:t>
      </w:r>
      <w:r>
        <w:rPr>
          <w:color w:val="222A35"/>
          <w:spacing w:val="8"/>
          <w:szCs w:val="24"/>
          <w:shd w:val="clear" w:color="auto" w:fill="FFFFFF"/>
        </w:rPr>
        <w:t xml:space="preserve"> → OH</w:t>
      </w:r>
      <w:r>
        <w:rPr>
          <w:color w:val="222A35"/>
          <w:spacing w:val="8"/>
          <w:szCs w:val="24"/>
          <w:shd w:val="clear" w:color="auto" w:fill="FFFFFF"/>
          <w:vertAlign w:val="superscript"/>
        </w:rPr>
        <w:t>-</w:t>
      </w:r>
      <w:r>
        <w:rPr>
          <w:color w:val="222A35"/>
          <w:spacing w:val="8"/>
          <w:szCs w:val="24"/>
          <w:shd w:val="clear" w:color="auto" w:fill="FFFFFF"/>
        </w:rPr>
        <w:t> + H</w:t>
      </w:r>
      <w:r>
        <w:rPr>
          <w:color w:val="222A35"/>
          <w:spacing w:val="8"/>
          <w:szCs w:val="24"/>
          <w:shd w:val="clear" w:color="auto" w:fill="FFFFFF"/>
          <w:vertAlign w:val="subscript"/>
        </w:rPr>
        <w:t>ads</w:t>
      </w:r>
      <w:r>
        <w:rPr>
          <w:color w:val="222A35"/>
          <w:spacing w:val="8"/>
          <w:szCs w:val="24"/>
          <w:shd w:val="clear" w:color="auto" w:fill="FFFFFF"/>
        </w:rPr>
        <w:t> </w:t>
      </w:r>
      <w:r>
        <w:rPr>
          <w:rFonts w:hint="eastAsia"/>
          <w:color w:val="222A35"/>
          <w:spacing w:val="8"/>
          <w:szCs w:val="24"/>
          <w:shd w:val="clear" w:color="auto" w:fill="FFFFFF"/>
        </w:rPr>
        <w:t>（</w:t>
      </w:r>
      <w:r>
        <w:rPr>
          <w:color w:val="222A35"/>
          <w:spacing w:val="8"/>
          <w:szCs w:val="24"/>
          <w:shd w:val="clear" w:color="auto" w:fill="FFFFFF"/>
        </w:rPr>
        <w:t>Volmer</w:t>
      </w:r>
      <w:r>
        <w:rPr>
          <w:rFonts w:hint="eastAsia"/>
          <w:color w:val="222A35"/>
          <w:spacing w:val="8"/>
          <w:szCs w:val="24"/>
          <w:shd w:val="clear" w:color="auto" w:fill="FFFFFF"/>
        </w:rPr>
        <w:t>）</w:t>
      </w:r>
    </w:p>
    <w:p>
      <w:pPr>
        <w:pStyle w:val="14"/>
        <w:widowControl/>
        <w:spacing w:beforeAutospacing="0" w:afterAutospacing="0" w:line="360" w:lineRule="auto"/>
        <w:jc w:val="center"/>
        <w:rPr>
          <w:rFonts w:eastAsia="微软雅黑"/>
          <w:szCs w:val="24"/>
        </w:rPr>
      </w:pPr>
      <w:r>
        <w:rPr>
          <w:rFonts w:eastAsia="微软雅黑"/>
          <w:color w:val="222A35"/>
          <w:spacing w:val="8"/>
          <w:szCs w:val="24"/>
          <w:shd w:val="clear" w:color="auto" w:fill="FFFFFF"/>
        </w:rPr>
        <w:t>H</w:t>
      </w:r>
      <w:r>
        <w:rPr>
          <w:rFonts w:eastAsia="微软雅黑"/>
          <w:color w:val="222A35"/>
          <w:spacing w:val="8"/>
          <w:szCs w:val="24"/>
          <w:shd w:val="clear" w:color="auto" w:fill="FFFFFF"/>
          <w:vertAlign w:val="subscript"/>
        </w:rPr>
        <w:t>ads</w:t>
      </w:r>
      <w:r>
        <w:rPr>
          <w:rFonts w:eastAsia="微软雅黑"/>
          <w:color w:val="222A35"/>
          <w:spacing w:val="8"/>
          <w:szCs w:val="24"/>
          <w:shd w:val="clear" w:color="auto" w:fill="FFFFFF"/>
        </w:rPr>
        <w:t>+ H</w:t>
      </w:r>
      <w:r>
        <w:rPr>
          <w:rFonts w:eastAsia="微软雅黑"/>
          <w:color w:val="222A35"/>
          <w:spacing w:val="8"/>
          <w:szCs w:val="24"/>
          <w:shd w:val="clear" w:color="auto" w:fill="FFFFFF"/>
          <w:vertAlign w:val="subscript"/>
        </w:rPr>
        <w:t>2</w:t>
      </w:r>
      <w:r>
        <w:rPr>
          <w:rFonts w:eastAsia="微软雅黑"/>
          <w:color w:val="222A35"/>
          <w:spacing w:val="8"/>
          <w:szCs w:val="24"/>
          <w:shd w:val="clear" w:color="auto" w:fill="FFFFFF"/>
        </w:rPr>
        <w:t>O + e</w:t>
      </w:r>
      <w:r>
        <w:rPr>
          <w:rFonts w:eastAsia="微软雅黑"/>
          <w:color w:val="222A35"/>
          <w:spacing w:val="8"/>
          <w:szCs w:val="24"/>
          <w:shd w:val="clear" w:color="auto" w:fill="FFFFFF"/>
          <w:vertAlign w:val="superscript"/>
        </w:rPr>
        <w:t>-</w:t>
      </w:r>
      <w:r>
        <w:rPr>
          <w:rFonts w:eastAsia="微软雅黑"/>
          <w:color w:val="222A35"/>
          <w:spacing w:val="8"/>
          <w:szCs w:val="24"/>
          <w:shd w:val="clear" w:color="auto" w:fill="FFFFFF"/>
        </w:rPr>
        <w:t> → OH</w:t>
      </w:r>
      <w:r>
        <w:rPr>
          <w:rFonts w:eastAsia="微软雅黑"/>
          <w:color w:val="222A35"/>
          <w:spacing w:val="8"/>
          <w:szCs w:val="24"/>
          <w:shd w:val="clear" w:color="auto" w:fill="FFFFFF"/>
          <w:vertAlign w:val="superscript"/>
        </w:rPr>
        <w:t>-</w:t>
      </w:r>
      <w:r>
        <w:rPr>
          <w:rFonts w:eastAsia="微软雅黑"/>
          <w:color w:val="222A35"/>
          <w:spacing w:val="8"/>
          <w:szCs w:val="24"/>
          <w:shd w:val="clear" w:color="auto" w:fill="FFFFFF"/>
        </w:rPr>
        <w:t> +H</w:t>
      </w:r>
      <w:r>
        <w:rPr>
          <w:rFonts w:eastAsia="微软雅黑"/>
          <w:color w:val="222A35"/>
          <w:spacing w:val="8"/>
          <w:szCs w:val="24"/>
          <w:shd w:val="clear" w:color="auto" w:fill="FFFFFF"/>
          <w:vertAlign w:val="subscript"/>
        </w:rPr>
        <w:t>2</w:t>
      </w:r>
      <w:r>
        <w:rPr>
          <w:rFonts w:eastAsia="微软雅黑"/>
          <w:color w:val="222A35"/>
          <w:spacing w:val="8"/>
          <w:szCs w:val="24"/>
          <w:shd w:val="clear" w:color="auto" w:fill="FFFFFF"/>
        </w:rPr>
        <w:t> </w:t>
      </w:r>
      <w:r>
        <w:rPr>
          <w:rFonts w:hint="eastAsia" w:eastAsia="微软雅黑"/>
          <w:color w:val="222A35"/>
          <w:spacing w:val="8"/>
          <w:szCs w:val="24"/>
          <w:shd w:val="clear" w:color="auto" w:fill="FFFFFF"/>
        </w:rPr>
        <w:t>（</w:t>
      </w:r>
      <w:r>
        <w:rPr>
          <w:rFonts w:eastAsia="微软雅黑"/>
          <w:color w:val="222A35"/>
          <w:spacing w:val="8"/>
          <w:szCs w:val="24"/>
          <w:shd w:val="clear" w:color="auto" w:fill="FFFFFF"/>
        </w:rPr>
        <w:t>Heyrovsky</w:t>
      </w:r>
      <w:r>
        <w:rPr>
          <w:rFonts w:hint="eastAsia" w:eastAsia="微软雅黑"/>
          <w:color w:val="222A35"/>
          <w:spacing w:val="8"/>
          <w:szCs w:val="24"/>
          <w:shd w:val="clear" w:color="auto" w:fill="FFFFFF"/>
        </w:rPr>
        <w:t>）</w:t>
      </w:r>
    </w:p>
    <w:p>
      <w:pPr>
        <w:pStyle w:val="14"/>
        <w:widowControl/>
        <w:spacing w:beforeAutospacing="0" w:afterAutospacing="0" w:line="360" w:lineRule="auto"/>
        <w:jc w:val="center"/>
        <w:rPr>
          <w:rFonts w:eastAsia="微软雅黑"/>
          <w:color w:val="222A35"/>
          <w:spacing w:val="8"/>
          <w:szCs w:val="24"/>
          <w:shd w:val="clear" w:color="auto" w:fill="FFFFFF"/>
        </w:rPr>
      </w:pPr>
      <w:r>
        <w:rPr>
          <w:rFonts w:eastAsia="微软雅黑"/>
          <w:color w:val="222A35"/>
          <w:spacing w:val="8"/>
          <w:szCs w:val="24"/>
          <w:shd w:val="clear" w:color="auto" w:fill="FFFFFF"/>
        </w:rPr>
        <w:t>or 2H</w:t>
      </w:r>
      <w:r>
        <w:rPr>
          <w:rFonts w:eastAsia="微软雅黑"/>
          <w:color w:val="222A35"/>
          <w:spacing w:val="8"/>
          <w:szCs w:val="24"/>
          <w:shd w:val="clear" w:color="auto" w:fill="FFFFFF"/>
          <w:vertAlign w:val="subscript"/>
        </w:rPr>
        <w:t>ads</w:t>
      </w:r>
      <w:r>
        <w:rPr>
          <w:rFonts w:eastAsia="微软雅黑"/>
          <w:color w:val="222A35"/>
          <w:spacing w:val="8"/>
          <w:szCs w:val="24"/>
          <w:shd w:val="clear" w:color="auto" w:fill="FFFFFF"/>
        </w:rPr>
        <w:t> → H</w:t>
      </w:r>
      <w:r>
        <w:rPr>
          <w:rFonts w:eastAsia="微软雅黑"/>
          <w:color w:val="222A35"/>
          <w:spacing w:val="8"/>
          <w:szCs w:val="24"/>
          <w:shd w:val="clear" w:color="auto" w:fill="FFFFFF"/>
          <w:vertAlign w:val="subscript"/>
        </w:rPr>
        <w:t>2</w:t>
      </w:r>
      <w:r>
        <w:rPr>
          <w:rFonts w:eastAsia="微软雅黑"/>
          <w:color w:val="222A35"/>
          <w:spacing w:val="8"/>
          <w:szCs w:val="24"/>
          <w:shd w:val="clear" w:color="auto" w:fill="FFFFFF"/>
        </w:rPr>
        <w:t> </w:t>
      </w:r>
      <w:r>
        <w:rPr>
          <w:rFonts w:hint="eastAsia" w:eastAsia="微软雅黑"/>
          <w:color w:val="222A35"/>
          <w:spacing w:val="8"/>
          <w:szCs w:val="24"/>
          <w:shd w:val="clear" w:color="auto" w:fill="FFFFFF"/>
        </w:rPr>
        <w:t>（</w:t>
      </w:r>
      <w:r>
        <w:rPr>
          <w:rFonts w:eastAsia="微软雅黑"/>
          <w:color w:val="222A35"/>
          <w:spacing w:val="8"/>
          <w:szCs w:val="24"/>
          <w:shd w:val="clear" w:color="auto" w:fill="FFFFFF"/>
        </w:rPr>
        <w:t>Tafel</w:t>
      </w:r>
      <w:r>
        <w:rPr>
          <w:rFonts w:hint="eastAsia" w:eastAsia="微软雅黑"/>
          <w:color w:val="222A35"/>
          <w:spacing w:val="8"/>
          <w:szCs w:val="24"/>
          <w:shd w:val="clear" w:color="auto" w:fill="FFFFFF"/>
        </w:rPr>
        <w:t>）</w:t>
      </w:r>
    </w:p>
    <w:p>
      <w:pPr>
        <w:widowControl/>
        <w:jc w:val="left"/>
      </w:pPr>
      <w:r>
        <w:rPr>
          <w:kern w:val="0"/>
          <w:sz w:val="25"/>
          <w:szCs w:val="25"/>
          <w:lang w:bidi="ar"/>
        </w:rPr>
        <w:t>酸性条件下HER的步骤如下:</w:t>
      </w:r>
    </w:p>
    <w:p>
      <w:pPr>
        <w:pStyle w:val="14"/>
        <w:widowControl/>
        <w:spacing w:beforeAutospacing="0" w:afterAutospacing="0" w:line="360" w:lineRule="auto"/>
        <w:jc w:val="center"/>
        <w:rPr>
          <w:color w:val="222A35"/>
          <w:spacing w:val="8"/>
          <w:szCs w:val="24"/>
          <w:shd w:val="clear" w:color="auto" w:fill="FFFFFF"/>
        </w:rPr>
      </w:pPr>
      <w:r>
        <w:rPr>
          <w:color w:val="222A35"/>
          <w:spacing w:val="8"/>
          <w:szCs w:val="24"/>
          <w:shd w:val="clear" w:color="auto" w:fill="FFFFFF"/>
        </w:rPr>
        <w:t>H</w:t>
      </w:r>
      <w:r>
        <w:rPr>
          <w:color w:val="222A35"/>
          <w:spacing w:val="8"/>
          <w:szCs w:val="24"/>
          <w:shd w:val="clear" w:color="auto" w:fill="FFFFFF"/>
          <w:vertAlign w:val="superscript"/>
        </w:rPr>
        <w:t>+</w:t>
      </w:r>
      <w:r>
        <w:rPr>
          <w:color w:val="222A35"/>
          <w:spacing w:val="8"/>
          <w:szCs w:val="24"/>
          <w:shd w:val="clear" w:color="auto" w:fill="FFFFFF"/>
        </w:rPr>
        <w:t>+e</w:t>
      </w:r>
      <w:r>
        <w:rPr>
          <w:color w:val="222A35"/>
          <w:spacing w:val="8"/>
          <w:szCs w:val="24"/>
          <w:shd w:val="clear" w:color="auto" w:fill="FFFFFF"/>
          <w:vertAlign w:val="superscript"/>
        </w:rPr>
        <w:t>-</w:t>
      </w:r>
      <w:r>
        <w:rPr>
          <w:color w:val="222A35"/>
          <w:spacing w:val="8"/>
          <w:szCs w:val="24"/>
          <w:shd w:val="clear" w:color="auto" w:fill="FFFFFF"/>
        </w:rPr>
        <w:t> + * → H</w:t>
      </w:r>
      <w:r>
        <w:rPr>
          <w:color w:val="222A35"/>
          <w:spacing w:val="8"/>
          <w:szCs w:val="24"/>
          <w:shd w:val="clear" w:color="auto" w:fill="FFFFFF"/>
          <w:vertAlign w:val="subscript"/>
        </w:rPr>
        <w:t>ads</w:t>
      </w:r>
      <w:r>
        <w:rPr>
          <w:color w:val="222A35"/>
          <w:spacing w:val="8"/>
          <w:szCs w:val="24"/>
          <w:shd w:val="clear" w:color="auto" w:fill="FFFFFF"/>
        </w:rPr>
        <w:t> </w:t>
      </w:r>
      <w:r>
        <w:rPr>
          <w:rFonts w:hint="eastAsia"/>
          <w:color w:val="222A35"/>
          <w:spacing w:val="8"/>
          <w:szCs w:val="24"/>
          <w:shd w:val="clear" w:color="auto" w:fill="FFFFFF"/>
        </w:rPr>
        <w:t>（</w:t>
      </w:r>
      <w:r>
        <w:rPr>
          <w:color w:val="222A35"/>
          <w:spacing w:val="8"/>
          <w:szCs w:val="24"/>
          <w:shd w:val="clear" w:color="auto" w:fill="FFFFFF"/>
        </w:rPr>
        <w:t>Volmer</w:t>
      </w:r>
      <w:r>
        <w:rPr>
          <w:rFonts w:hint="eastAsia"/>
          <w:color w:val="222A35"/>
          <w:spacing w:val="8"/>
          <w:szCs w:val="24"/>
          <w:shd w:val="clear" w:color="auto" w:fill="FFFFFF"/>
        </w:rPr>
        <w:t>）</w:t>
      </w:r>
    </w:p>
    <w:p>
      <w:pPr>
        <w:pStyle w:val="14"/>
        <w:widowControl/>
        <w:spacing w:beforeAutospacing="0" w:afterAutospacing="0" w:line="360" w:lineRule="auto"/>
        <w:jc w:val="center"/>
        <w:rPr>
          <w:color w:val="222A35"/>
          <w:spacing w:val="8"/>
          <w:szCs w:val="24"/>
          <w:shd w:val="clear" w:color="auto" w:fill="FFFFFF"/>
        </w:rPr>
      </w:pPr>
      <w:r>
        <w:rPr>
          <w:color w:val="222A35"/>
          <w:spacing w:val="8"/>
          <w:szCs w:val="24"/>
          <w:shd w:val="clear" w:color="auto" w:fill="FFFFFF"/>
        </w:rPr>
        <w:t>H</w:t>
      </w:r>
      <w:r>
        <w:rPr>
          <w:color w:val="222A35"/>
          <w:spacing w:val="8"/>
          <w:szCs w:val="24"/>
          <w:shd w:val="clear" w:color="auto" w:fill="FFFFFF"/>
          <w:vertAlign w:val="subscript"/>
        </w:rPr>
        <w:t>ads</w:t>
      </w:r>
      <w:r>
        <w:rPr>
          <w:color w:val="222A35"/>
          <w:spacing w:val="8"/>
          <w:szCs w:val="24"/>
          <w:shd w:val="clear" w:color="auto" w:fill="FFFFFF"/>
        </w:rPr>
        <w:t> + H</w:t>
      </w:r>
      <w:r>
        <w:rPr>
          <w:color w:val="222A35"/>
          <w:spacing w:val="8"/>
          <w:szCs w:val="24"/>
          <w:shd w:val="clear" w:color="auto" w:fill="FFFFFF"/>
          <w:vertAlign w:val="superscript"/>
        </w:rPr>
        <w:t>+</w:t>
      </w:r>
      <w:r>
        <w:rPr>
          <w:color w:val="222A35"/>
          <w:spacing w:val="8"/>
          <w:szCs w:val="24"/>
          <w:shd w:val="clear" w:color="auto" w:fill="FFFFFF"/>
        </w:rPr>
        <w:t>+ e</w:t>
      </w:r>
      <w:r>
        <w:rPr>
          <w:color w:val="222A35"/>
          <w:spacing w:val="8"/>
          <w:szCs w:val="24"/>
          <w:shd w:val="clear" w:color="auto" w:fill="FFFFFF"/>
          <w:vertAlign w:val="superscript"/>
        </w:rPr>
        <w:t>-</w:t>
      </w:r>
      <w:r>
        <w:rPr>
          <w:color w:val="222A35"/>
          <w:spacing w:val="8"/>
          <w:szCs w:val="24"/>
          <w:shd w:val="clear" w:color="auto" w:fill="FFFFFF"/>
        </w:rPr>
        <w:t> → H</w:t>
      </w:r>
      <w:r>
        <w:rPr>
          <w:color w:val="222A35"/>
          <w:spacing w:val="8"/>
          <w:szCs w:val="24"/>
          <w:shd w:val="clear" w:color="auto" w:fill="FFFFFF"/>
          <w:vertAlign w:val="subscript"/>
        </w:rPr>
        <w:t>2</w:t>
      </w:r>
      <w:r>
        <w:rPr>
          <w:color w:val="222A35"/>
          <w:spacing w:val="8"/>
          <w:szCs w:val="24"/>
          <w:shd w:val="clear" w:color="auto" w:fill="FFFFFF"/>
        </w:rPr>
        <w:t> </w:t>
      </w:r>
      <w:r>
        <w:rPr>
          <w:rFonts w:hint="eastAsia"/>
          <w:color w:val="222A35"/>
          <w:spacing w:val="8"/>
          <w:szCs w:val="24"/>
          <w:shd w:val="clear" w:color="auto" w:fill="FFFFFF"/>
        </w:rPr>
        <w:t>（</w:t>
      </w:r>
      <w:r>
        <w:rPr>
          <w:color w:val="222A35"/>
          <w:spacing w:val="8"/>
          <w:szCs w:val="24"/>
          <w:shd w:val="clear" w:color="auto" w:fill="FFFFFF"/>
        </w:rPr>
        <w:t>Heyrovsky</w:t>
      </w:r>
      <w:r>
        <w:rPr>
          <w:rFonts w:hint="eastAsia"/>
          <w:color w:val="222A35"/>
          <w:spacing w:val="8"/>
          <w:szCs w:val="24"/>
          <w:shd w:val="clear" w:color="auto" w:fill="FFFFFF"/>
        </w:rPr>
        <w:t>）</w:t>
      </w:r>
    </w:p>
    <w:p>
      <w:pPr>
        <w:pStyle w:val="14"/>
        <w:widowControl/>
        <w:spacing w:beforeAutospacing="0" w:afterAutospacing="0" w:line="360" w:lineRule="auto"/>
        <w:jc w:val="center"/>
        <w:rPr>
          <w:color w:val="222A35"/>
          <w:spacing w:val="8"/>
          <w:szCs w:val="24"/>
          <w:shd w:val="clear" w:color="auto" w:fill="FFFFFF"/>
        </w:rPr>
      </w:pPr>
      <w:r>
        <w:rPr>
          <w:color w:val="222A35"/>
          <w:spacing w:val="8"/>
          <w:szCs w:val="24"/>
          <w:shd w:val="clear" w:color="auto" w:fill="FFFFFF"/>
        </w:rPr>
        <w:t>or 2H</w:t>
      </w:r>
      <w:r>
        <w:rPr>
          <w:color w:val="222A35"/>
          <w:spacing w:val="8"/>
          <w:szCs w:val="24"/>
          <w:shd w:val="clear" w:color="auto" w:fill="FFFFFF"/>
          <w:vertAlign w:val="subscript"/>
        </w:rPr>
        <w:t>ads</w:t>
      </w:r>
      <w:r>
        <w:rPr>
          <w:color w:val="222A35"/>
          <w:spacing w:val="8"/>
          <w:szCs w:val="24"/>
          <w:shd w:val="clear" w:color="auto" w:fill="FFFFFF"/>
        </w:rPr>
        <w:t> → H</w:t>
      </w:r>
      <w:r>
        <w:rPr>
          <w:color w:val="222A35"/>
          <w:spacing w:val="8"/>
          <w:szCs w:val="24"/>
          <w:shd w:val="clear" w:color="auto" w:fill="FFFFFF"/>
          <w:vertAlign w:val="subscript"/>
        </w:rPr>
        <w:t>2</w:t>
      </w:r>
      <w:r>
        <w:rPr>
          <w:color w:val="222A35"/>
          <w:spacing w:val="8"/>
          <w:szCs w:val="24"/>
          <w:shd w:val="clear" w:color="auto" w:fill="FFFFFF"/>
        </w:rPr>
        <w:t> </w:t>
      </w:r>
      <w:r>
        <w:rPr>
          <w:rFonts w:hint="eastAsia"/>
          <w:color w:val="222A35"/>
          <w:spacing w:val="8"/>
          <w:szCs w:val="24"/>
          <w:shd w:val="clear" w:color="auto" w:fill="FFFFFF"/>
        </w:rPr>
        <w:t>（</w:t>
      </w:r>
      <w:r>
        <w:rPr>
          <w:color w:val="222A35"/>
          <w:spacing w:val="8"/>
          <w:szCs w:val="24"/>
          <w:shd w:val="clear" w:color="auto" w:fill="FFFFFF"/>
        </w:rPr>
        <w:t>Tafel</w:t>
      </w:r>
      <w:r>
        <w:rPr>
          <w:rFonts w:hint="eastAsia"/>
          <w:color w:val="222A35"/>
          <w:spacing w:val="8"/>
          <w:szCs w:val="24"/>
          <w:shd w:val="clear" w:color="auto" w:fill="FFFFFF"/>
        </w:rPr>
        <w:t>）</w:t>
      </w:r>
    </w:p>
    <w:p>
      <w:pPr>
        <w:spacing w:line="360" w:lineRule="auto"/>
        <w:ind w:firstLine="480" w:firstLineChars="200"/>
        <w:rPr>
          <w:sz w:val="24"/>
          <w:szCs w:val="24"/>
        </w:rPr>
      </w:pPr>
      <w:bookmarkStart w:id="36" w:name="OLE_LINK14"/>
      <w:r>
        <w:rPr>
          <w:sz w:val="24"/>
          <w:szCs w:val="24"/>
        </w:rPr>
        <w:t>氢吸附自由能（ΔG</w:t>
      </w:r>
      <w:r>
        <w:rPr>
          <w:sz w:val="24"/>
          <w:szCs w:val="24"/>
          <w:vertAlign w:val="subscript"/>
        </w:rPr>
        <w:t>Hads</w:t>
      </w:r>
      <w:bookmarkEnd w:id="36"/>
      <w:r>
        <w:rPr>
          <w:sz w:val="24"/>
          <w:szCs w:val="24"/>
        </w:rPr>
        <w:t>）</w:t>
      </w:r>
      <w:r>
        <w:rPr>
          <w:color w:val="222A35"/>
          <w:spacing w:val="8"/>
          <w:sz w:val="24"/>
          <w:szCs w:val="24"/>
          <w:shd w:val="clear" w:color="auto" w:fill="FFFFFF"/>
        </w:rPr>
        <w:t>已经成为公认的HER反应的能量描述符，通过计算</w:t>
      </w:r>
      <w:bookmarkStart w:id="37" w:name="OLE_LINK16"/>
      <w:r>
        <w:rPr>
          <w:sz w:val="24"/>
          <w:szCs w:val="24"/>
        </w:rPr>
        <w:t>ΔG</w:t>
      </w:r>
      <w:r>
        <w:rPr>
          <w:sz w:val="24"/>
          <w:szCs w:val="24"/>
          <w:vertAlign w:val="subscript"/>
        </w:rPr>
        <w:t>Hads</w:t>
      </w:r>
      <w:bookmarkEnd w:id="37"/>
      <w:r>
        <w:rPr>
          <w:color w:val="222A35"/>
          <w:spacing w:val="8"/>
          <w:sz w:val="24"/>
          <w:szCs w:val="24"/>
          <w:shd w:val="clear" w:color="auto" w:fill="FFFFFF"/>
        </w:rPr>
        <w:t>来判断催化剂是否具有较好的催化性能。</w:t>
      </w:r>
      <w:bookmarkStart w:id="38" w:name="OLE_LINK35"/>
      <w:r>
        <w:rPr>
          <w:sz w:val="24"/>
          <w:szCs w:val="24"/>
        </w:rPr>
        <w:t>良好的HER催化剂应具有接近于0的ΔG</w:t>
      </w:r>
      <w:r>
        <w:rPr>
          <w:sz w:val="24"/>
          <w:szCs w:val="24"/>
          <w:vertAlign w:val="subscript"/>
        </w:rPr>
        <w:t>Hads</w:t>
      </w:r>
      <w:r>
        <w:rPr>
          <w:sz w:val="24"/>
          <w:szCs w:val="24"/>
        </w:rPr>
        <w:t>，这往往作为高通量筛选的标准。</w:t>
      </w:r>
      <w:bookmarkEnd w:id="38"/>
      <w:r>
        <w:rPr>
          <w:sz w:val="24"/>
          <w:szCs w:val="24"/>
        </w:rPr>
        <w:t>并且认为</w:t>
      </w:r>
      <w:r>
        <w:rPr>
          <w:rFonts w:hint="eastAsia"/>
          <w:sz w:val="24"/>
          <w:szCs w:val="24"/>
          <w:lang w:val="en-US" w:eastAsia="zh-CN"/>
        </w:rPr>
        <w:t>氢吸附自由能的绝对值（</w:t>
      </w:r>
      <w:r>
        <w:rPr>
          <w:sz w:val="24"/>
          <w:szCs w:val="24"/>
        </w:rPr>
        <w:t>|ΔG</w:t>
      </w:r>
      <w:r>
        <w:rPr>
          <w:sz w:val="24"/>
          <w:szCs w:val="24"/>
          <w:vertAlign w:val="subscript"/>
        </w:rPr>
        <w:t>Hads</w:t>
      </w:r>
      <w:r>
        <w:rPr>
          <w:sz w:val="24"/>
          <w:szCs w:val="24"/>
        </w:rPr>
        <w:t>|</w:t>
      </w:r>
      <w:r>
        <w:rPr>
          <w:rFonts w:hint="eastAsia"/>
          <w:sz w:val="24"/>
          <w:szCs w:val="24"/>
          <w:lang w:eastAsia="zh-CN"/>
        </w:rPr>
        <w:t>）</w:t>
      </w:r>
      <w:r>
        <w:rPr>
          <w:sz w:val="24"/>
          <w:szCs w:val="24"/>
        </w:rPr>
        <w:t>≤0.2 eV时具有较好的催化活性。</w:t>
      </w:r>
      <w:bookmarkStart w:id="39" w:name="OLE_LINK61"/>
    </w:p>
    <w:bookmarkEnd w:id="34"/>
    <w:bookmarkEnd w:id="39"/>
    <w:p>
      <w:pPr>
        <w:numPr>
          <w:ilvl w:val="0"/>
          <w:numId w:val="1"/>
        </w:numPr>
        <w:spacing w:line="360" w:lineRule="auto"/>
        <w:ind w:firstLine="480" w:firstLineChars="200"/>
        <w:jc w:val="left"/>
        <w:rPr>
          <w:rStyle w:val="20"/>
          <w:bCs/>
          <w:sz w:val="24"/>
          <w:szCs w:val="24"/>
        </w:rPr>
      </w:pPr>
      <w:bookmarkStart w:id="40" w:name="OLE_LINK9"/>
      <w:r>
        <w:rPr>
          <w:rStyle w:val="20"/>
          <w:bCs/>
          <w:sz w:val="24"/>
          <w:szCs w:val="24"/>
        </w:rPr>
        <w:t>表面端基物种</w:t>
      </w:r>
    </w:p>
    <w:bookmarkEnd w:id="40"/>
    <w:p>
      <w:pPr>
        <w:spacing w:line="360" w:lineRule="auto"/>
        <w:ind w:firstLine="480" w:firstLineChars="200"/>
        <w:rPr>
          <w:sz w:val="24"/>
          <w:szCs w:val="24"/>
        </w:rPr>
      </w:pPr>
      <w:bookmarkStart w:id="41" w:name="OLE_LINK44"/>
      <w:r>
        <w:rPr>
          <w:sz w:val="24"/>
          <w:szCs w:val="24"/>
        </w:rPr>
        <w:t>为了确定TiVC的</w:t>
      </w:r>
      <w:r>
        <w:rPr>
          <w:rStyle w:val="20"/>
          <w:bCs/>
          <w:sz w:val="24"/>
          <w:szCs w:val="24"/>
        </w:rPr>
        <w:t>表面端基物种，</w:t>
      </w:r>
      <w:r>
        <w:rPr>
          <w:sz w:val="24"/>
          <w:szCs w:val="24"/>
        </w:rPr>
        <w:t>绘制相关电位</w:t>
      </w:r>
      <w:r>
        <w:rPr>
          <w:rFonts w:hint="eastAsia"/>
          <w:sz w:val="24"/>
          <w:szCs w:val="24"/>
        </w:rPr>
        <w:t>（</w:t>
      </w:r>
      <w:r>
        <w:rPr>
          <w:sz w:val="24"/>
          <w:szCs w:val="24"/>
        </w:rPr>
        <w:t>U</w:t>
      </w:r>
      <w:r>
        <w:rPr>
          <w:sz w:val="24"/>
          <w:szCs w:val="24"/>
          <w:vertAlign w:val="subscript"/>
        </w:rPr>
        <w:t>SHE</w:t>
      </w:r>
      <w:r>
        <w:rPr>
          <w:rFonts w:hint="eastAsia"/>
          <w:sz w:val="24"/>
          <w:szCs w:val="24"/>
        </w:rPr>
        <w:t>）</w:t>
      </w:r>
      <w:r>
        <w:rPr>
          <w:sz w:val="24"/>
          <w:szCs w:val="24"/>
        </w:rPr>
        <w:t>和pH值下热力学最稳定的表面</w:t>
      </w:r>
      <w:bookmarkStart w:id="42" w:name="OLE_LINK12"/>
      <w:r>
        <w:rPr>
          <w:sz w:val="24"/>
          <w:szCs w:val="24"/>
        </w:rPr>
        <w:t>Pourbaix图</w:t>
      </w:r>
      <w:bookmarkEnd w:id="42"/>
      <w:r>
        <w:rPr>
          <w:sz w:val="24"/>
          <w:szCs w:val="24"/>
        </w:rPr>
        <w:t>，如图1所示。由于TiVC材料具有Ti和V两个不同的表面，为了确定最稳定的反应面，我们在Ti面和V面分别进行了表面端基物种的稳定性研究。以Ti面为例，图1a为TiVC的表面Pourbaix图。当pH为0时，保护裸TiVC单层免受水氧化所需的</w:t>
      </w:r>
      <w:bookmarkStart w:id="43" w:name="OLE_LINK51"/>
      <w:r>
        <w:rPr>
          <w:sz w:val="24"/>
          <w:szCs w:val="24"/>
        </w:rPr>
        <w:t>U</w:t>
      </w:r>
      <w:r>
        <w:rPr>
          <w:sz w:val="24"/>
          <w:szCs w:val="24"/>
          <w:vertAlign w:val="subscript"/>
        </w:rPr>
        <w:t>SHE</w:t>
      </w:r>
      <w:bookmarkEnd w:id="43"/>
      <w:r>
        <w:rPr>
          <w:sz w:val="24"/>
          <w:szCs w:val="24"/>
        </w:rPr>
        <w:t>低至-2.39</w:t>
      </w:r>
      <w:r>
        <w:rPr>
          <w:rFonts w:hint="eastAsia"/>
          <w:sz w:val="24"/>
          <w:szCs w:val="24"/>
          <w:lang w:val="en-US" w:eastAsia="zh-CN"/>
        </w:rPr>
        <w:t xml:space="preserve"> </w:t>
      </w:r>
      <w:r>
        <w:rPr>
          <w:sz w:val="24"/>
          <w:szCs w:val="24"/>
        </w:rPr>
        <w:t>V。随着pH值的增加</w:t>
      </w:r>
      <w:r>
        <w:rPr>
          <w:rFonts w:hint="eastAsia"/>
          <w:sz w:val="24"/>
          <w:szCs w:val="24"/>
        </w:rPr>
        <w:t>（</w:t>
      </w:r>
      <w:r>
        <w:rPr>
          <w:sz w:val="24"/>
          <w:szCs w:val="24"/>
        </w:rPr>
        <w:t>斜率为-0.059</w:t>
      </w:r>
      <w:r>
        <w:rPr>
          <w:rFonts w:hint="eastAsia"/>
          <w:sz w:val="24"/>
          <w:szCs w:val="24"/>
          <w:lang w:val="en-US" w:eastAsia="zh-CN"/>
        </w:rPr>
        <w:t xml:space="preserve"> </w:t>
      </w:r>
      <w:r>
        <w:rPr>
          <w:sz w:val="24"/>
          <w:szCs w:val="24"/>
        </w:rPr>
        <w:t>V/pH</w:t>
      </w:r>
      <w:r>
        <w:rPr>
          <w:rFonts w:hint="eastAsia"/>
          <w:sz w:val="24"/>
          <w:szCs w:val="24"/>
        </w:rPr>
        <w:t>）</w:t>
      </w:r>
      <w:r>
        <w:rPr>
          <w:sz w:val="24"/>
          <w:szCs w:val="24"/>
        </w:rPr>
        <w:t>，需要更大的负电位来防止TiVC氧化。一旦电位超过TiVC的最大保护电位，水就开始被氧化，TiVC表面部分被OH*覆盖。随着</w:t>
      </w:r>
      <w:bookmarkStart w:id="44" w:name="OLE_LINK52"/>
      <w:r>
        <w:rPr>
          <w:sz w:val="24"/>
          <w:szCs w:val="24"/>
        </w:rPr>
        <w:t>电位</w:t>
      </w:r>
      <w:bookmarkEnd w:id="44"/>
      <w:r>
        <w:rPr>
          <w:sz w:val="24"/>
          <w:szCs w:val="24"/>
        </w:rPr>
        <w:t>不断增加，在U</w:t>
      </w:r>
      <w:r>
        <w:rPr>
          <w:sz w:val="24"/>
          <w:szCs w:val="24"/>
          <w:vertAlign w:val="subscript"/>
        </w:rPr>
        <w:t>SHE</w:t>
      </w:r>
      <w:r>
        <w:rPr>
          <w:sz w:val="24"/>
          <w:szCs w:val="24"/>
        </w:rPr>
        <w:t>=-1.98</w:t>
      </w:r>
      <w:r>
        <w:rPr>
          <w:rFonts w:hint="eastAsia"/>
          <w:sz w:val="24"/>
          <w:szCs w:val="24"/>
          <w:lang w:val="en-US" w:eastAsia="zh-CN"/>
        </w:rPr>
        <w:t xml:space="preserve"> </w:t>
      </w:r>
      <w:r>
        <w:rPr>
          <w:sz w:val="24"/>
          <w:szCs w:val="24"/>
        </w:rPr>
        <w:t>V时，TiVC表面完全被OH*终止。随着电位不断增大，OH*开始被氧化形成O*。此外，当电位增加到-0.21</w:t>
      </w:r>
      <w:r>
        <w:rPr>
          <w:rFonts w:hint="eastAsia"/>
          <w:sz w:val="24"/>
          <w:szCs w:val="24"/>
          <w:lang w:val="en-US" w:eastAsia="zh-CN"/>
        </w:rPr>
        <w:t xml:space="preserve"> </w:t>
      </w:r>
      <w:r>
        <w:rPr>
          <w:sz w:val="24"/>
          <w:szCs w:val="24"/>
        </w:rPr>
        <w:t>V时，TiVC表面的OH*全部被氧化，形成稳定的O*端-TiVCO</w:t>
      </w:r>
      <w:r>
        <w:rPr>
          <w:sz w:val="24"/>
          <w:szCs w:val="24"/>
          <w:vertAlign w:val="subscript"/>
        </w:rPr>
        <w:t>2</w:t>
      </w:r>
      <w:r>
        <w:rPr>
          <w:sz w:val="24"/>
          <w:szCs w:val="24"/>
        </w:rPr>
        <w:t>。因此，在标准条件下，TiVC将被O*完全终止。</w:t>
      </w:r>
    </w:p>
    <w:p>
      <w:pPr>
        <w:spacing w:line="360" w:lineRule="auto"/>
        <w:ind w:firstLine="480" w:firstLineChars="200"/>
        <w:rPr>
          <w:sz w:val="24"/>
          <w:szCs w:val="24"/>
        </w:rPr>
      </w:pPr>
      <w:r>
        <w:rPr>
          <w:sz w:val="24"/>
          <w:szCs w:val="24"/>
        </w:rPr>
        <w:t>此外，在U</w:t>
      </w:r>
      <w:r>
        <w:rPr>
          <w:sz w:val="24"/>
          <w:szCs w:val="24"/>
          <w:vertAlign w:val="subscript"/>
        </w:rPr>
        <w:t>SHE</w:t>
      </w:r>
      <w:r>
        <w:rPr>
          <w:sz w:val="24"/>
          <w:szCs w:val="24"/>
        </w:rPr>
        <w:t>=0 V时，高效催化剂还应具有较高的稳定性。因此，我们研究了不同末端的TiVC在U</w:t>
      </w:r>
      <w:r>
        <w:rPr>
          <w:sz w:val="24"/>
          <w:szCs w:val="24"/>
          <w:vertAlign w:val="subscript"/>
        </w:rPr>
        <w:t>SHE</w:t>
      </w:r>
      <w:r>
        <w:rPr>
          <w:sz w:val="24"/>
          <w:szCs w:val="24"/>
        </w:rPr>
        <w:t>=0 V</w:t>
      </w:r>
      <w:r>
        <w:rPr>
          <w:rFonts w:hint="eastAsia"/>
          <w:sz w:val="24"/>
          <w:szCs w:val="24"/>
          <w:lang w:val="en-US" w:eastAsia="zh-CN"/>
        </w:rPr>
        <w:t>时</w:t>
      </w:r>
      <w:r>
        <w:rPr>
          <w:sz w:val="24"/>
          <w:szCs w:val="24"/>
        </w:rPr>
        <w:t>不同pH值下的相对稳定性。在给定的pH下，自由能最低的状态是最稳定的，对应于图1b的底线。从图1b可以看出，在很宽的pH范围内，以O*完全终止的TiVC是最稳定的状态。V面和Ti面是一样的。因此，我们以TiVCO</w:t>
      </w:r>
      <w:r>
        <w:rPr>
          <w:sz w:val="24"/>
          <w:szCs w:val="24"/>
          <w:vertAlign w:val="subscript"/>
        </w:rPr>
        <w:t>2</w:t>
      </w:r>
      <w:r>
        <w:rPr>
          <w:sz w:val="24"/>
          <w:szCs w:val="24"/>
        </w:rPr>
        <w:t>为初始结构对其进行改性研究。</w:t>
      </w:r>
    </w:p>
    <w:p>
      <w:pPr>
        <w:spacing w:line="360" w:lineRule="auto"/>
        <w:ind w:firstLine="480" w:firstLineChars="200"/>
        <w:rPr>
          <w:sz w:val="24"/>
          <w:szCs w:val="24"/>
        </w:rPr>
      </w:pPr>
    </w:p>
    <w:bookmarkEnd w:id="41"/>
    <w:p>
      <w:pPr>
        <w:spacing w:line="360" w:lineRule="auto"/>
        <w:jc w:val="center"/>
        <w:rPr>
          <w:sz w:val="24"/>
          <w:szCs w:val="24"/>
        </w:rPr>
      </w:pPr>
      <w:r>
        <w:rPr>
          <w:sz w:val="24"/>
          <w:szCs w:val="24"/>
        </w:rPr>
        <w:drawing>
          <wp:inline distT="0" distB="0" distL="0" distR="0">
            <wp:extent cx="4097655" cy="3213100"/>
            <wp:effectExtent l="0" t="0" r="1714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097655" cy="3213100"/>
                    </a:xfrm>
                    <a:prstGeom prst="rect">
                      <a:avLst/>
                    </a:prstGeom>
                    <a:noFill/>
                  </pic:spPr>
                </pic:pic>
              </a:graphicData>
            </a:graphic>
          </wp:inline>
        </w:drawing>
      </w:r>
    </w:p>
    <w:p>
      <w:pPr>
        <w:pStyle w:val="5"/>
        <w:spacing w:line="360" w:lineRule="auto"/>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w:t>
      </w:r>
      <w:r>
        <w:rPr>
          <w:rFonts w:ascii="Times New Roman" w:hAnsi="Times New Roman" w:eastAsia="宋体"/>
          <w:sz w:val="21"/>
          <w:szCs w:val="21"/>
        </w:rPr>
        <w:fldChar w:fldCharType="end"/>
      </w:r>
      <w:bookmarkStart w:id="45" w:name="_Toc13854"/>
      <w:r>
        <w:rPr>
          <w:rFonts w:ascii="Times New Roman" w:hAnsi="Times New Roman" w:eastAsia="宋体"/>
          <w:sz w:val="21"/>
          <w:szCs w:val="21"/>
        </w:rPr>
        <w:t xml:space="preserve"> 表面物种稳定性图</w:t>
      </w:r>
      <w:bookmarkEnd w:id="45"/>
    </w:p>
    <w:p/>
    <w:p>
      <w:pPr>
        <w:pStyle w:val="4"/>
        <w:rPr>
          <w:rStyle w:val="20"/>
          <w:szCs w:val="24"/>
        </w:rPr>
      </w:pPr>
      <w:bookmarkStart w:id="46" w:name="_Toc21076"/>
      <w:bookmarkStart w:id="47" w:name="OLE_LINK2"/>
      <w:r>
        <w:rPr>
          <w:rStyle w:val="20"/>
          <w:szCs w:val="24"/>
        </w:rPr>
        <w:t>2.1.2 理论设计及高通量筛选</w:t>
      </w:r>
      <w:bookmarkEnd w:id="46"/>
    </w:p>
    <w:bookmarkEnd w:id="47"/>
    <w:p>
      <w:pPr>
        <w:widowControl/>
        <w:spacing w:line="360" w:lineRule="auto"/>
        <w:ind w:firstLine="480" w:firstLineChars="200"/>
        <w:rPr>
          <w:rStyle w:val="20"/>
          <w:bCs/>
          <w:sz w:val="24"/>
          <w:szCs w:val="24"/>
        </w:rPr>
      </w:pPr>
      <w:r>
        <w:rPr>
          <w:rStyle w:val="20"/>
          <w:bCs/>
          <w:sz w:val="24"/>
          <w:szCs w:val="24"/>
        </w:rPr>
        <w:t>（1）理论设计</w:t>
      </w:r>
    </w:p>
    <w:p>
      <w:pPr>
        <w:widowControl/>
        <w:spacing w:line="360" w:lineRule="auto"/>
        <w:ind w:firstLine="480" w:firstLineChars="200"/>
        <w:rPr>
          <w:sz w:val="24"/>
          <w:szCs w:val="24"/>
        </w:rPr>
      </w:pPr>
      <w:bookmarkStart w:id="48" w:name="OLE_LINK29"/>
      <w:bookmarkStart w:id="49" w:name="OLE_LINK45"/>
      <w:r>
        <w:rPr>
          <w:rStyle w:val="20"/>
          <w:bCs/>
          <w:sz w:val="24"/>
          <w:szCs w:val="24"/>
        </w:rPr>
        <w:t>TiVCO</w:t>
      </w:r>
      <w:r>
        <w:rPr>
          <w:rStyle w:val="20"/>
          <w:bCs/>
          <w:sz w:val="24"/>
          <w:szCs w:val="24"/>
          <w:vertAlign w:val="subscript"/>
        </w:rPr>
        <w:t>2</w:t>
      </w:r>
      <w:bookmarkEnd w:id="48"/>
      <w:r>
        <w:rPr>
          <w:rStyle w:val="20"/>
          <w:bCs/>
          <w:sz w:val="24"/>
          <w:szCs w:val="24"/>
        </w:rPr>
        <w:t>由O-Ti-C-V-O五个原子层组成，其中氧原子构成上下表面的最外层，</w:t>
      </w:r>
      <w:bookmarkStart w:id="50" w:name="OLE_LINK3"/>
      <w:r>
        <w:rPr>
          <w:rStyle w:val="20"/>
          <w:bCs/>
          <w:sz w:val="24"/>
          <w:szCs w:val="24"/>
        </w:rPr>
        <w:t>Ti和V</w:t>
      </w:r>
      <w:bookmarkEnd w:id="50"/>
      <w:r>
        <w:rPr>
          <w:rStyle w:val="20"/>
          <w:bCs/>
          <w:sz w:val="24"/>
          <w:szCs w:val="24"/>
        </w:rPr>
        <w:t>的过渡金属层构成上下两个次级外表面。C层夹在Ti和V过渡金属层之间</w:t>
      </w:r>
      <w:r>
        <w:rPr>
          <w:rStyle w:val="20"/>
          <w:rFonts w:hint="eastAsia"/>
          <w:bCs/>
          <w:sz w:val="24"/>
          <w:szCs w:val="24"/>
        </w:rPr>
        <w:t>（</w:t>
      </w:r>
      <w:bookmarkStart w:id="51" w:name="OLE_LINK28"/>
      <w:r>
        <w:rPr>
          <w:rStyle w:val="20"/>
          <w:rFonts w:hint="eastAsia"/>
          <w:bCs/>
          <w:sz w:val="24"/>
          <w:szCs w:val="24"/>
        </w:rPr>
        <w:t>图2</w:t>
      </w:r>
      <w:bookmarkEnd w:id="51"/>
      <w:r>
        <w:rPr>
          <w:rStyle w:val="20"/>
          <w:rFonts w:hint="eastAsia"/>
          <w:bCs/>
          <w:sz w:val="24"/>
          <w:szCs w:val="24"/>
        </w:rPr>
        <w:t>）</w:t>
      </w:r>
      <w:r>
        <w:rPr>
          <w:rStyle w:val="20"/>
          <w:bCs/>
          <w:sz w:val="24"/>
          <w:szCs w:val="24"/>
        </w:rPr>
        <w:t>。为了确定HER反应是发生在Ti面还是V面，我们分别考虑一个氢原子在Ti面和V面氧原子上的吸附，结果显示钛表面的|ΔG</w:t>
      </w:r>
      <w:r>
        <w:rPr>
          <w:rStyle w:val="20"/>
          <w:bCs/>
          <w:sz w:val="24"/>
          <w:szCs w:val="24"/>
          <w:vertAlign w:val="subscript"/>
        </w:rPr>
        <w:t>H</w:t>
      </w:r>
      <w:r>
        <w:rPr>
          <w:rStyle w:val="20"/>
          <w:bCs/>
          <w:sz w:val="24"/>
          <w:szCs w:val="24"/>
        </w:rPr>
        <w:t>|较小，</w:t>
      </w:r>
      <w:r>
        <w:rPr>
          <w:sz w:val="24"/>
          <w:szCs w:val="24"/>
        </w:rPr>
        <w:t>所以，后续研究都在Ti表面上进行。</w:t>
      </w:r>
    </w:p>
    <w:p>
      <w:pPr>
        <w:widowControl/>
        <w:spacing w:line="360" w:lineRule="auto"/>
        <w:jc w:val="center"/>
        <w:rPr>
          <w:sz w:val="24"/>
          <w:szCs w:val="24"/>
        </w:rPr>
      </w:pPr>
      <w:r>
        <w:rPr>
          <w:rFonts w:hint="eastAsia"/>
          <w:sz w:val="24"/>
          <w:szCs w:val="24"/>
        </w:rPr>
        <w:drawing>
          <wp:inline distT="0" distB="0" distL="114300" distR="114300">
            <wp:extent cx="3524885" cy="1141095"/>
            <wp:effectExtent l="0" t="0" r="18415" b="1905"/>
            <wp:docPr id="31" name="图片 31" descr="169891627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98916272296"/>
                    <pic:cNvPicPr>
                      <a:picLocks noChangeAspect="1"/>
                    </pic:cNvPicPr>
                  </pic:nvPicPr>
                  <pic:blipFill>
                    <a:blip r:embed="rId7"/>
                    <a:stretch>
                      <a:fillRect/>
                    </a:stretch>
                  </pic:blipFill>
                  <pic:spPr>
                    <a:xfrm>
                      <a:off x="0" y="0"/>
                      <a:ext cx="3524885" cy="1141095"/>
                    </a:xfrm>
                    <a:prstGeom prst="rect">
                      <a:avLst/>
                    </a:prstGeom>
                  </pic:spPr>
                </pic:pic>
              </a:graphicData>
            </a:graphic>
          </wp:inline>
        </w:drawing>
      </w:r>
    </w:p>
    <w:p>
      <w:pPr>
        <w:pStyle w:val="5"/>
        <w:widowControl/>
        <w:spacing w:line="360" w:lineRule="auto"/>
        <w:ind w:firstLine="420" w:firstLineChars="200"/>
        <w:jc w:val="center"/>
        <w:rPr>
          <w:rStyle w:val="20"/>
          <w:rFonts w:ascii="Times New Roman" w:hAnsi="Times New Roman" w:eastAsia="宋体"/>
          <w:bCs/>
          <w:sz w:val="21"/>
          <w:szCs w:val="21"/>
        </w:rPr>
      </w:pPr>
      <w:r>
        <w:rPr>
          <w:rStyle w:val="20"/>
          <w:rFonts w:ascii="Times New Roman" w:hAnsi="Times New Roman" w:eastAsia="宋体"/>
          <w:bCs/>
          <w:sz w:val="21"/>
          <w:szCs w:val="21"/>
        </w:rPr>
        <w:t xml:space="preserve"> </w:t>
      </w:r>
      <w:r>
        <w:rPr>
          <w:rFonts w:ascii="Times New Roman" w:hAnsi="Times New Roman" w:eastAsia="宋体"/>
          <w:sz w:val="21"/>
          <w:szCs w:val="21"/>
        </w:rPr>
        <w:t>图</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2</w:t>
      </w:r>
      <w:r>
        <w:rPr>
          <w:rFonts w:ascii="Times New Roman" w:hAnsi="Times New Roman" w:eastAsia="宋体"/>
          <w:sz w:val="21"/>
          <w:szCs w:val="21"/>
        </w:rPr>
        <w:fldChar w:fldCharType="end"/>
      </w:r>
      <w:bookmarkStart w:id="52" w:name="_Toc17780"/>
      <w:r>
        <w:rPr>
          <w:rFonts w:ascii="Times New Roman" w:hAnsi="Times New Roman" w:eastAsia="宋体"/>
          <w:sz w:val="21"/>
          <w:szCs w:val="21"/>
        </w:rPr>
        <w:t xml:space="preserve"> </w:t>
      </w:r>
      <w:r>
        <w:rPr>
          <w:rStyle w:val="20"/>
          <w:rFonts w:ascii="Times New Roman" w:hAnsi="Times New Roman" w:eastAsia="宋体"/>
          <w:bCs/>
          <w:sz w:val="21"/>
          <w:szCs w:val="21"/>
        </w:rPr>
        <w:t>TiVCO</w:t>
      </w:r>
      <w:r>
        <w:rPr>
          <w:rStyle w:val="20"/>
          <w:rFonts w:ascii="Times New Roman" w:hAnsi="Times New Roman" w:eastAsia="宋体"/>
          <w:bCs/>
          <w:sz w:val="21"/>
          <w:szCs w:val="21"/>
          <w:vertAlign w:val="subscript"/>
        </w:rPr>
        <w:t>2</w:t>
      </w:r>
      <w:r>
        <w:rPr>
          <w:rStyle w:val="20"/>
          <w:rFonts w:ascii="Times New Roman" w:hAnsi="Times New Roman" w:eastAsia="宋体"/>
          <w:bCs/>
          <w:sz w:val="21"/>
          <w:szCs w:val="21"/>
        </w:rPr>
        <w:t>结构示意图</w:t>
      </w:r>
      <w:bookmarkEnd w:id="52"/>
    </w:p>
    <w:p/>
    <w:p>
      <w:pPr>
        <w:spacing w:line="360" w:lineRule="auto"/>
        <w:ind w:firstLine="480" w:firstLineChars="200"/>
        <w:jc w:val="left"/>
        <w:rPr>
          <w:sz w:val="24"/>
          <w:szCs w:val="24"/>
        </w:rPr>
      </w:pPr>
      <w:r>
        <w:rPr>
          <w:sz w:val="24"/>
          <w:szCs w:val="24"/>
        </w:rPr>
        <w:t>为了提高TiVCO</w:t>
      </w:r>
      <w:r>
        <w:rPr>
          <w:sz w:val="24"/>
          <w:szCs w:val="24"/>
          <w:vertAlign w:val="subscript"/>
        </w:rPr>
        <w:t>2</w:t>
      </w:r>
      <w:r>
        <w:rPr>
          <w:sz w:val="24"/>
          <w:szCs w:val="24"/>
        </w:rPr>
        <w:t>的HER催化性能，分别引入非金属原子（B、N、P、S）和过渡金属原子（3d</w:t>
      </w:r>
      <w:r>
        <w:rPr>
          <w:rFonts w:hint="eastAsia"/>
          <w:sz w:val="24"/>
          <w:szCs w:val="24"/>
          <w:lang w:eastAsia="zh-CN"/>
        </w:rPr>
        <w:t>、</w:t>
      </w:r>
      <w:r>
        <w:rPr>
          <w:sz w:val="24"/>
          <w:szCs w:val="24"/>
        </w:rPr>
        <w:t>4d</w:t>
      </w:r>
      <w:r>
        <w:rPr>
          <w:rFonts w:hint="eastAsia"/>
          <w:sz w:val="24"/>
          <w:szCs w:val="24"/>
          <w:lang w:eastAsia="zh-CN"/>
        </w:rPr>
        <w:t>、</w:t>
      </w:r>
      <w:r>
        <w:rPr>
          <w:sz w:val="24"/>
          <w:szCs w:val="24"/>
        </w:rPr>
        <w:t>5d</w:t>
      </w:r>
      <w:r>
        <w:rPr>
          <w:rFonts w:hint="eastAsia"/>
          <w:sz w:val="24"/>
          <w:szCs w:val="24"/>
        </w:rPr>
        <w:t>）</w:t>
      </w:r>
      <w:r>
        <w:rPr>
          <w:sz w:val="24"/>
          <w:szCs w:val="24"/>
        </w:rPr>
        <w:t>，由于在Ti表面进行反应，所以不考虑引入Ti的情况</w:t>
      </w:r>
      <w:r>
        <w:rPr>
          <w:rFonts w:hint="eastAsia"/>
          <w:sz w:val="24"/>
          <w:szCs w:val="24"/>
          <w:lang w:eastAsia="zh-CN"/>
        </w:rPr>
        <w:t>，</w:t>
      </w:r>
      <w:r>
        <w:rPr>
          <w:sz w:val="24"/>
          <w:szCs w:val="24"/>
        </w:rPr>
        <w:t>有毒性</w:t>
      </w:r>
      <w:r>
        <w:rPr>
          <w:rFonts w:hint="eastAsia"/>
          <w:sz w:val="24"/>
          <w:szCs w:val="24"/>
        </w:rPr>
        <w:t>、</w:t>
      </w:r>
      <w:r>
        <w:rPr>
          <w:sz w:val="24"/>
          <w:szCs w:val="24"/>
        </w:rPr>
        <w:t>放射性和液体金属除外，共</w:t>
      </w:r>
      <w:r>
        <w:rPr>
          <w:rFonts w:hint="eastAsia"/>
          <w:sz w:val="24"/>
          <w:szCs w:val="24"/>
        </w:rPr>
        <w:t>考虑</w:t>
      </w:r>
      <w:r>
        <w:rPr>
          <w:sz w:val="24"/>
          <w:szCs w:val="24"/>
        </w:rPr>
        <w:t>26种过渡金属。</w:t>
      </w:r>
      <w:bookmarkEnd w:id="49"/>
      <w:bookmarkStart w:id="53" w:name="OLE_LINK46"/>
      <w:r>
        <w:rPr>
          <w:sz w:val="24"/>
          <w:szCs w:val="24"/>
        </w:rPr>
        <w:t>首先考虑了非金属原子可能引入的三个位点，如图</w:t>
      </w:r>
      <w:r>
        <w:rPr>
          <w:rFonts w:hint="eastAsia"/>
          <w:sz w:val="24"/>
          <w:szCs w:val="24"/>
        </w:rPr>
        <w:t>3</w:t>
      </w:r>
      <w:r>
        <w:rPr>
          <w:sz w:val="24"/>
          <w:szCs w:val="24"/>
        </w:rPr>
        <w:t>a所示，分别计算了四种非金属元素在三种位点处的结合能</w:t>
      </w:r>
      <w:r>
        <w:rPr>
          <w:rFonts w:hint="eastAsia"/>
          <w:sz w:val="24"/>
          <w:szCs w:val="24"/>
        </w:rPr>
        <w:t>（</w:t>
      </w:r>
      <w:r>
        <w:rPr>
          <w:sz w:val="24"/>
          <w:szCs w:val="24"/>
        </w:rPr>
        <w:t>图</w:t>
      </w:r>
      <w:r>
        <w:rPr>
          <w:rFonts w:hint="eastAsia"/>
          <w:sz w:val="24"/>
          <w:szCs w:val="24"/>
        </w:rPr>
        <w:t>3</w:t>
      </w:r>
      <w:r>
        <w:rPr>
          <w:sz w:val="24"/>
          <w:szCs w:val="24"/>
        </w:rPr>
        <w:t>b</w:t>
      </w:r>
      <w:r>
        <w:rPr>
          <w:rFonts w:hint="eastAsia"/>
          <w:sz w:val="24"/>
          <w:szCs w:val="24"/>
        </w:rPr>
        <w:t>）</w:t>
      </w:r>
      <w:r>
        <w:rPr>
          <w:sz w:val="24"/>
          <w:szCs w:val="24"/>
        </w:rPr>
        <w:t>，可以发现在LS位点时，四种非金属元素的结合能变化幅度不大，且都能够稳定存在，所以，确定LS为非金属原子引入位点。在此基础上，我们引入金属原子。以引入非金属元素B和金属元素Sc为例，考虑到非金属原子与金属原子之间可能存在相互作用及配位环境的影响，</w:t>
      </w:r>
      <w:r>
        <w:rPr>
          <w:rFonts w:hint="eastAsia"/>
          <w:sz w:val="24"/>
          <w:szCs w:val="24"/>
        </w:rPr>
        <w:t>共</w:t>
      </w:r>
      <w:r>
        <w:rPr>
          <w:sz w:val="24"/>
          <w:szCs w:val="24"/>
        </w:rPr>
        <w:t>考虑了四种替代方式和两种掺杂方式，每种方式考虑三种不同的氢吸附位点，共18种结构，如</w:t>
      </w:r>
      <w:bookmarkStart w:id="54" w:name="OLE_LINK4"/>
      <w:r>
        <w:rPr>
          <w:sz w:val="24"/>
          <w:szCs w:val="24"/>
        </w:rPr>
        <w:t>图</w:t>
      </w:r>
      <w:r>
        <w:rPr>
          <w:rFonts w:hint="eastAsia"/>
          <w:sz w:val="24"/>
          <w:szCs w:val="24"/>
        </w:rPr>
        <w:t>4</w:t>
      </w:r>
      <w:r>
        <w:rPr>
          <w:sz w:val="24"/>
          <w:szCs w:val="24"/>
        </w:rPr>
        <w:t>a</w:t>
      </w:r>
      <w:bookmarkEnd w:id="54"/>
      <w:r>
        <w:rPr>
          <w:sz w:val="24"/>
          <w:szCs w:val="24"/>
        </w:rPr>
        <w:t>所示，相应的氢吸附自由能如图</w:t>
      </w:r>
      <w:r>
        <w:rPr>
          <w:rFonts w:hint="eastAsia"/>
          <w:sz w:val="24"/>
          <w:szCs w:val="24"/>
        </w:rPr>
        <w:t>4</w:t>
      </w:r>
      <w:r>
        <w:rPr>
          <w:sz w:val="24"/>
          <w:szCs w:val="24"/>
        </w:rPr>
        <w:t>b所示。发现hcp掺杂位点的氢吸附位点1具有较低的氢吸附自由能，为-0.415 eV。所以后续均按照该构型进行研究，如图</w:t>
      </w:r>
      <w:r>
        <w:rPr>
          <w:rFonts w:hint="eastAsia"/>
          <w:sz w:val="24"/>
          <w:szCs w:val="24"/>
        </w:rPr>
        <w:t>5</w:t>
      </w:r>
      <w:r>
        <w:rPr>
          <w:sz w:val="24"/>
          <w:szCs w:val="24"/>
        </w:rPr>
        <w:t>所示。</w:t>
      </w:r>
    </w:p>
    <w:p>
      <w:pPr>
        <w:spacing w:line="360" w:lineRule="auto"/>
        <w:ind w:firstLine="480" w:firstLineChars="200"/>
        <w:jc w:val="left"/>
        <w:rPr>
          <w:sz w:val="24"/>
          <w:szCs w:val="24"/>
        </w:rPr>
      </w:pPr>
    </w:p>
    <w:p>
      <w:pPr>
        <w:spacing w:line="360" w:lineRule="auto"/>
        <w:jc w:val="center"/>
        <w:rPr>
          <w:sz w:val="24"/>
          <w:szCs w:val="24"/>
        </w:rPr>
      </w:pPr>
      <w:r>
        <w:rPr>
          <w:sz w:val="24"/>
          <w:szCs w:val="24"/>
        </w:rPr>
        <w:drawing>
          <wp:inline distT="0" distB="0" distL="114300" distR="114300">
            <wp:extent cx="4271010" cy="1906270"/>
            <wp:effectExtent l="0" t="0" r="15240" b="17780"/>
            <wp:docPr id="10" name="图片 10" descr="169880701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98807013288"/>
                    <pic:cNvPicPr>
                      <a:picLocks noChangeAspect="1"/>
                    </pic:cNvPicPr>
                  </pic:nvPicPr>
                  <pic:blipFill>
                    <a:blip r:embed="rId8"/>
                    <a:stretch>
                      <a:fillRect/>
                    </a:stretch>
                  </pic:blipFill>
                  <pic:spPr>
                    <a:xfrm>
                      <a:off x="0" y="0"/>
                      <a:ext cx="4271010" cy="1906270"/>
                    </a:xfrm>
                    <a:prstGeom prst="rect">
                      <a:avLst/>
                    </a:prstGeom>
                  </pic:spPr>
                </pic:pic>
              </a:graphicData>
            </a:graphic>
          </wp:inline>
        </w:drawing>
      </w:r>
    </w:p>
    <w:p>
      <w:pPr>
        <w:pStyle w:val="5"/>
        <w:spacing w:line="360" w:lineRule="auto"/>
        <w:ind w:firstLine="420" w:firstLineChars="200"/>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3</w:t>
      </w:r>
      <w:r>
        <w:rPr>
          <w:rFonts w:ascii="Times New Roman" w:hAnsi="Times New Roman" w:eastAsia="宋体"/>
          <w:sz w:val="21"/>
          <w:szCs w:val="21"/>
        </w:rPr>
        <w:fldChar w:fldCharType="end"/>
      </w:r>
      <w:bookmarkStart w:id="55" w:name="_Toc31100"/>
      <w:r>
        <w:rPr>
          <w:rFonts w:ascii="Times New Roman" w:hAnsi="Times New Roman" w:eastAsia="宋体"/>
          <w:sz w:val="21"/>
          <w:szCs w:val="21"/>
        </w:rPr>
        <w:t>非金属掺杂位点及结合能图</w:t>
      </w:r>
      <w:bookmarkEnd w:id="55"/>
    </w:p>
    <w:p>
      <w:pPr>
        <w:pStyle w:val="5"/>
        <w:spacing w:line="360" w:lineRule="auto"/>
        <w:ind w:firstLine="420" w:firstLineChars="200"/>
        <w:jc w:val="center"/>
        <w:rPr>
          <w:rFonts w:ascii="Times New Roman" w:hAnsi="Times New Roman"/>
          <w:sz w:val="21"/>
          <w:szCs w:val="21"/>
        </w:rPr>
      </w:pPr>
    </w:p>
    <w:p>
      <w:pPr>
        <w:spacing w:line="360" w:lineRule="auto"/>
        <w:jc w:val="center"/>
        <w:rPr>
          <w:szCs w:val="21"/>
        </w:rPr>
      </w:pPr>
      <w:r>
        <w:rPr>
          <w:szCs w:val="21"/>
        </w:rPr>
        <w:drawing>
          <wp:inline distT="0" distB="0" distL="114300" distR="114300">
            <wp:extent cx="5271135" cy="2065020"/>
            <wp:effectExtent l="0" t="0" r="5715" b="11430"/>
            <wp:docPr id="12" name="图片 12" descr="169880727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98807271952"/>
                    <pic:cNvPicPr>
                      <a:picLocks noChangeAspect="1"/>
                    </pic:cNvPicPr>
                  </pic:nvPicPr>
                  <pic:blipFill>
                    <a:blip r:embed="rId9"/>
                    <a:stretch>
                      <a:fillRect/>
                    </a:stretch>
                  </pic:blipFill>
                  <pic:spPr>
                    <a:xfrm>
                      <a:off x="0" y="0"/>
                      <a:ext cx="5271135" cy="2065020"/>
                    </a:xfrm>
                    <a:prstGeom prst="rect">
                      <a:avLst/>
                    </a:prstGeom>
                  </pic:spPr>
                </pic:pic>
              </a:graphicData>
            </a:graphic>
          </wp:inline>
        </w:drawing>
      </w:r>
    </w:p>
    <w:p>
      <w:pPr>
        <w:pStyle w:val="5"/>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4</w:t>
      </w:r>
      <w:r>
        <w:rPr>
          <w:rFonts w:ascii="Times New Roman" w:hAnsi="Times New Roman" w:eastAsia="宋体"/>
          <w:sz w:val="21"/>
          <w:szCs w:val="21"/>
        </w:rPr>
        <w:fldChar w:fldCharType="end"/>
      </w:r>
      <w:bookmarkStart w:id="56" w:name="_Toc19585"/>
      <w:r>
        <w:rPr>
          <w:rFonts w:ascii="Times New Roman" w:hAnsi="Times New Roman" w:eastAsia="宋体"/>
          <w:sz w:val="21"/>
          <w:szCs w:val="21"/>
        </w:rPr>
        <w:t xml:space="preserve"> 金属掺杂位点和氢吸附位点及自由能图</w:t>
      </w:r>
      <w:bookmarkEnd w:id="56"/>
    </w:p>
    <w:p>
      <w:pPr>
        <w:spacing w:line="360" w:lineRule="auto"/>
        <w:ind w:firstLine="480" w:firstLineChars="200"/>
        <w:jc w:val="left"/>
        <w:rPr>
          <w:sz w:val="24"/>
          <w:szCs w:val="24"/>
        </w:rPr>
      </w:pPr>
    </w:p>
    <w:p>
      <w:pPr>
        <w:spacing w:line="360" w:lineRule="auto"/>
        <w:jc w:val="center"/>
        <w:rPr>
          <w:sz w:val="24"/>
          <w:szCs w:val="24"/>
        </w:rPr>
      </w:pPr>
      <w:r>
        <w:drawing>
          <wp:inline distT="0" distB="0" distL="0" distR="0">
            <wp:extent cx="3793490" cy="3236595"/>
            <wp:effectExtent l="0" t="0" r="16510" b="1905"/>
            <wp:docPr id="7" name="图片 7" descr="C:\Users\86198\Documents\WeChat Files\wxid_tr0tnlp7g3rl22\FileStorage\Temp\1698649786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86198\Documents\WeChat Files\wxid_tr0tnlp7g3rl22\FileStorage\Temp\16986497867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93490" cy="3236595"/>
                    </a:xfrm>
                    <a:prstGeom prst="rect">
                      <a:avLst/>
                    </a:prstGeom>
                    <a:noFill/>
                    <a:ln>
                      <a:noFill/>
                    </a:ln>
                  </pic:spPr>
                </pic:pic>
              </a:graphicData>
            </a:graphic>
          </wp:inline>
        </w:drawing>
      </w:r>
    </w:p>
    <w:p>
      <w:pPr>
        <w:pStyle w:val="5"/>
        <w:spacing w:line="360" w:lineRule="auto"/>
        <w:ind w:firstLine="480"/>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5</w:t>
      </w:r>
      <w:r>
        <w:rPr>
          <w:rFonts w:ascii="Times New Roman" w:hAnsi="Times New Roman" w:eastAsia="宋体"/>
          <w:sz w:val="21"/>
          <w:szCs w:val="21"/>
        </w:rPr>
        <w:fldChar w:fldCharType="end"/>
      </w:r>
      <w:bookmarkStart w:id="57" w:name="_Toc21726"/>
      <w:r>
        <w:rPr>
          <w:rFonts w:ascii="Times New Roman" w:hAnsi="Times New Roman" w:eastAsia="宋体"/>
          <w:sz w:val="21"/>
          <w:szCs w:val="21"/>
        </w:rPr>
        <w:t>改性TiVCO</w:t>
      </w:r>
      <w:r>
        <w:rPr>
          <w:rFonts w:ascii="Times New Roman" w:hAnsi="Times New Roman" w:eastAsia="宋体"/>
          <w:sz w:val="21"/>
          <w:szCs w:val="21"/>
          <w:vertAlign w:val="subscript"/>
        </w:rPr>
        <w:t>2</w:t>
      </w:r>
      <w:r>
        <w:rPr>
          <w:rFonts w:ascii="Times New Roman" w:hAnsi="Times New Roman" w:eastAsia="宋体"/>
          <w:sz w:val="21"/>
          <w:szCs w:val="21"/>
        </w:rPr>
        <w:t>结构及氢吸附位点图</w:t>
      </w:r>
      <w:bookmarkEnd w:id="57"/>
    </w:p>
    <w:p>
      <w:pPr>
        <w:pStyle w:val="5"/>
      </w:pPr>
    </w:p>
    <w:p>
      <w:pPr>
        <w:numPr>
          <w:ilvl w:val="0"/>
          <w:numId w:val="2"/>
        </w:numPr>
        <w:spacing w:line="360" w:lineRule="auto"/>
        <w:ind w:firstLine="480" w:firstLineChars="200"/>
        <w:jc w:val="left"/>
        <w:rPr>
          <w:sz w:val="24"/>
          <w:szCs w:val="24"/>
        </w:rPr>
      </w:pPr>
      <w:bookmarkStart w:id="58" w:name="OLE_LINK27"/>
      <w:r>
        <w:rPr>
          <w:sz w:val="24"/>
          <w:szCs w:val="24"/>
        </w:rPr>
        <w:t>高通量筛选</w:t>
      </w:r>
    </w:p>
    <w:bookmarkEnd w:id="58"/>
    <w:p>
      <w:pPr>
        <w:spacing w:line="360" w:lineRule="auto"/>
        <w:ind w:firstLine="480" w:firstLineChars="200"/>
        <w:rPr>
          <w:sz w:val="24"/>
          <w:szCs w:val="24"/>
        </w:rPr>
      </w:pPr>
      <w:r>
        <w:rPr>
          <w:sz w:val="24"/>
          <w:szCs w:val="24"/>
        </w:rPr>
        <w:t>图</w:t>
      </w:r>
      <w:r>
        <w:rPr>
          <w:rFonts w:hint="eastAsia"/>
          <w:sz w:val="24"/>
          <w:szCs w:val="24"/>
        </w:rPr>
        <w:t>6</w:t>
      </w:r>
      <w:r>
        <w:rPr>
          <w:sz w:val="24"/>
          <w:szCs w:val="24"/>
        </w:rPr>
        <w:t>展示了</w:t>
      </w:r>
      <w:bookmarkStart w:id="59" w:name="OLE_LINK18"/>
      <w:r>
        <w:rPr>
          <w:sz w:val="24"/>
          <w:szCs w:val="24"/>
        </w:rPr>
        <w:t>B-TiVCO</w:t>
      </w:r>
      <w:r>
        <w:rPr>
          <w:sz w:val="24"/>
          <w:szCs w:val="24"/>
          <w:vertAlign w:val="subscript"/>
        </w:rPr>
        <w:t>2</w:t>
      </w:r>
      <w:r>
        <w:rPr>
          <w:sz w:val="24"/>
          <w:szCs w:val="24"/>
        </w:rPr>
        <w:t>、N-TiVCO</w:t>
      </w:r>
      <w:r>
        <w:rPr>
          <w:sz w:val="24"/>
          <w:szCs w:val="24"/>
          <w:vertAlign w:val="subscript"/>
        </w:rPr>
        <w:t>2</w:t>
      </w:r>
      <w:r>
        <w:rPr>
          <w:sz w:val="24"/>
          <w:szCs w:val="24"/>
        </w:rPr>
        <w:t>和P-TiVCO</w:t>
      </w:r>
      <w:r>
        <w:rPr>
          <w:sz w:val="24"/>
          <w:szCs w:val="24"/>
          <w:vertAlign w:val="subscript"/>
        </w:rPr>
        <w:t>2</w:t>
      </w:r>
      <w:bookmarkEnd w:id="59"/>
      <w:r>
        <w:rPr>
          <w:sz w:val="24"/>
          <w:szCs w:val="24"/>
        </w:rPr>
        <w:t>与26种TM原子的结合能</w:t>
      </w:r>
      <w:r>
        <w:rPr>
          <w:rFonts w:hint="eastAsia"/>
          <w:sz w:val="24"/>
          <w:szCs w:val="24"/>
        </w:rPr>
        <w:t>情况</w:t>
      </w:r>
      <w:r>
        <w:rPr>
          <w:sz w:val="24"/>
          <w:szCs w:val="24"/>
        </w:rPr>
        <w:t>。由图可知，所有过渡金属的结合能均为负</w:t>
      </w:r>
      <w:r>
        <w:rPr>
          <w:rFonts w:hint="eastAsia"/>
          <w:sz w:val="24"/>
          <w:szCs w:val="24"/>
          <w:lang w:val="en-US" w:eastAsia="zh-CN"/>
        </w:rPr>
        <w:t>值</w:t>
      </w:r>
      <w:r>
        <w:rPr>
          <w:sz w:val="24"/>
          <w:szCs w:val="24"/>
        </w:rPr>
        <w:t>，说明能够稳定存在于TiVCO</w:t>
      </w:r>
      <w:r>
        <w:rPr>
          <w:sz w:val="24"/>
          <w:szCs w:val="24"/>
          <w:vertAlign w:val="subscript"/>
        </w:rPr>
        <w:t>2</w:t>
      </w:r>
      <w:r>
        <w:rPr>
          <w:sz w:val="24"/>
          <w:szCs w:val="24"/>
        </w:rPr>
        <w:t>中，结合能与过渡金属原子之间存在一定的周期性关系。在同一周期，结合能随价电子数的增加而增大。</w:t>
      </w:r>
    </w:p>
    <w:p>
      <w:pPr>
        <w:spacing w:line="360" w:lineRule="auto"/>
        <w:jc w:val="center"/>
        <w:rPr>
          <w:szCs w:val="21"/>
        </w:rPr>
      </w:pPr>
      <w:r>
        <w:rPr>
          <w:b/>
        </w:rPr>
        <w:drawing>
          <wp:inline distT="0" distB="0" distL="0" distR="0">
            <wp:extent cx="5504180" cy="1512570"/>
            <wp:effectExtent l="0" t="0" r="1270" b="11430"/>
            <wp:docPr id="13" name="图片 13" descr="C:\Users\86198\Documents\WeChat Files\wxid_tr0tnlp7g3rl22\FileStorage\Temp\1698376257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86198\Documents\WeChat Files\wxid_tr0tnlp7g3rl22\FileStorage\Temp\16983762578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17730" cy="1516728"/>
                    </a:xfrm>
                    <a:prstGeom prst="rect">
                      <a:avLst/>
                    </a:prstGeom>
                    <a:noFill/>
                    <a:ln>
                      <a:noFill/>
                    </a:ln>
                  </pic:spPr>
                </pic:pic>
              </a:graphicData>
            </a:graphic>
          </wp:inline>
        </w:drawing>
      </w:r>
    </w:p>
    <w:p>
      <w:pPr>
        <w:pStyle w:val="5"/>
        <w:spacing w:line="360" w:lineRule="auto"/>
        <w:ind w:firstLine="420" w:firstLineChars="200"/>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6</w:t>
      </w:r>
      <w:r>
        <w:rPr>
          <w:rFonts w:ascii="Times New Roman" w:hAnsi="Times New Roman" w:eastAsia="宋体"/>
          <w:sz w:val="21"/>
          <w:szCs w:val="21"/>
        </w:rPr>
        <w:fldChar w:fldCharType="end"/>
      </w:r>
      <w:bookmarkStart w:id="60" w:name="_Toc4867"/>
      <w:r>
        <w:rPr>
          <w:rFonts w:ascii="Times New Roman" w:hAnsi="Times New Roman" w:eastAsia="宋体"/>
          <w:sz w:val="21"/>
          <w:szCs w:val="21"/>
        </w:rPr>
        <w:t xml:space="preserve"> 过渡金属原子与TM-NM-TiVCO</w:t>
      </w:r>
      <w:r>
        <w:rPr>
          <w:rFonts w:ascii="Times New Roman" w:hAnsi="Times New Roman" w:eastAsia="宋体"/>
          <w:sz w:val="21"/>
          <w:szCs w:val="21"/>
          <w:vertAlign w:val="subscript"/>
        </w:rPr>
        <w:t>2</w:t>
      </w:r>
      <w:r>
        <w:rPr>
          <w:rFonts w:ascii="Times New Roman" w:hAnsi="Times New Roman" w:eastAsia="宋体"/>
          <w:sz w:val="21"/>
          <w:szCs w:val="21"/>
        </w:rPr>
        <w:t>结合能图</w:t>
      </w:r>
      <w:bookmarkEnd w:id="60"/>
    </w:p>
    <w:p/>
    <w:p>
      <w:pPr>
        <w:spacing w:line="360" w:lineRule="auto"/>
        <w:ind w:firstLine="480" w:firstLineChars="200"/>
        <w:rPr>
          <w:sz w:val="24"/>
          <w:szCs w:val="24"/>
        </w:rPr>
      </w:pPr>
      <w:r>
        <w:rPr>
          <w:sz w:val="24"/>
          <w:szCs w:val="24"/>
        </w:rPr>
        <w:t>理想的HER催化剂与H的结合既不</w:t>
      </w:r>
      <w:r>
        <w:rPr>
          <w:rFonts w:hint="eastAsia"/>
          <w:sz w:val="24"/>
          <w:szCs w:val="24"/>
          <w:lang w:val="en-US" w:eastAsia="zh-CN"/>
        </w:rPr>
        <w:t>能</w:t>
      </w:r>
      <w:r>
        <w:rPr>
          <w:sz w:val="24"/>
          <w:szCs w:val="24"/>
        </w:rPr>
        <w:t>太强也不</w:t>
      </w:r>
      <w:r>
        <w:rPr>
          <w:rFonts w:hint="eastAsia"/>
          <w:sz w:val="24"/>
          <w:szCs w:val="24"/>
          <w:lang w:val="en-US" w:eastAsia="zh-CN"/>
        </w:rPr>
        <w:t>能</w:t>
      </w:r>
      <w:r>
        <w:rPr>
          <w:sz w:val="24"/>
          <w:szCs w:val="24"/>
        </w:rPr>
        <w:t>太弱，即ΔG</w:t>
      </w:r>
      <w:r>
        <w:rPr>
          <w:sz w:val="24"/>
          <w:szCs w:val="24"/>
          <w:vertAlign w:val="subscript"/>
        </w:rPr>
        <w:t>H</w:t>
      </w:r>
      <w:r>
        <w:rPr>
          <w:sz w:val="24"/>
          <w:szCs w:val="24"/>
        </w:rPr>
        <w:t>应该接近于</w:t>
      </w:r>
      <w:r>
        <w:rPr>
          <w:rFonts w:hint="eastAsia"/>
          <w:sz w:val="24"/>
          <w:szCs w:val="24"/>
          <w:lang w:val="en-US" w:eastAsia="zh-CN"/>
        </w:rPr>
        <w:t>0</w:t>
      </w:r>
      <w:r>
        <w:rPr>
          <w:sz w:val="24"/>
          <w:szCs w:val="24"/>
        </w:rPr>
        <w:t>。由于有足够的活性位点，大多数2D材料表现出良好的HER性能，其ΔG</w:t>
      </w:r>
      <w:r>
        <w:rPr>
          <w:sz w:val="24"/>
          <w:szCs w:val="24"/>
          <w:vertAlign w:val="subscript"/>
        </w:rPr>
        <w:t>H</w:t>
      </w:r>
      <w:r>
        <w:rPr>
          <w:sz w:val="24"/>
          <w:szCs w:val="24"/>
        </w:rPr>
        <w:t>为-0.2 ~ 0.2 eV</w:t>
      </w:r>
      <w:r>
        <w:rPr>
          <w:sz w:val="24"/>
          <w:szCs w:val="24"/>
        </w:rPr>
        <w:fldChar w:fldCharType="begin">
          <w:fldData xml:space="preserve">PEVuZE5vdGU+PENpdGU+PEF1dGhvcj5aaGFuZzwvQXV0aG9yPjxZZWFyPjIwMjE8L1llYXI+PFJl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</w:fldData>
        </w:fldChar>
      </w:r>
      <w:r>
        <w:rPr>
          <w:sz w:val="24"/>
          <w:szCs w:val="24"/>
        </w:rPr>
        <w:instrText xml:space="preserve"> ADDIN EN.CITE </w:instrText>
      </w:r>
      <w:r>
        <w:rPr>
          <w:sz w:val="24"/>
          <w:szCs w:val="24"/>
        </w:rPr>
        <w:fldChar w:fldCharType="begin">
          <w:fldData xml:space="preserve">PEVuZE5vdGU+PENpdGU+PEF1dGhvcj5aaGFuZzwvQXV0aG9yPjxZZWFyPjIwMjE8L1llYXI+PFJl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</w:fldData>
        </w:fldChar>
      </w:r>
      <w:r>
        <w:rPr>
          <w:sz w:val="24"/>
          <w:szCs w:val="24"/>
        </w:rPr>
        <w:instrText xml:space="preserve"> ADDIN EN.CITE.DATA </w:instrText>
      </w:r>
      <w:r>
        <w:rPr>
          <w:sz w:val="24"/>
          <w:szCs w:val="24"/>
        </w:rPr>
        <w:fldChar w:fldCharType="separate"/>
      </w:r>
      <w:r>
        <w:rPr>
          <w:sz w:val="24"/>
          <w:szCs w:val="24"/>
        </w:rPr>
        <w:fldChar w:fldCharType="end"/>
      </w:r>
      <w:r>
        <w:rPr>
          <w:sz w:val="24"/>
          <w:szCs w:val="24"/>
        </w:rPr>
        <w:fldChar w:fldCharType="separate"/>
      </w:r>
      <w:r>
        <w:rPr>
          <w:sz w:val="24"/>
          <w:szCs w:val="24"/>
          <w:vertAlign w:val="superscript"/>
        </w:rPr>
        <w:t>11, 12</w:t>
      </w:r>
      <w:r>
        <w:rPr>
          <w:sz w:val="24"/>
          <w:szCs w:val="24"/>
        </w:rPr>
        <w:fldChar w:fldCharType="end"/>
      </w:r>
      <w:r>
        <w:rPr>
          <w:sz w:val="24"/>
          <w:szCs w:val="24"/>
        </w:rPr>
        <w:t>。TMs-NM-</w:t>
      </w:r>
      <w:bookmarkStart w:id="61" w:name="OLE_LINK19"/>
      <w:r>
        <w:rPr>
          <w:sz w:val="24"/>
          <w:szCs w:val="24"/>
        </w:rPr>
        <w:t>TiVCO</w:t>
      </w:r>
      <w:r>
        <w:rPr>
          <w:sz w:val="24"/>
          <w:szCs w:val="24"/>
          <w:vertAlign w:val="subscript"/>
        </w:rPr>
        <w:t>2</w:t>
      </w:r>
      <w:bookmarkEnd w:id="61"/>
      <w:r>
        <w:rPr>
          <w:sz w:val="24"/>
          <w:szCs w:val="24"/>
        </w:rPr>
        <w:t>的氢吸附自由能和电流密度如图</w:t>
      </w:r>
      <w:r>
        <w:rPr>
          <w:rFonts w:hint="eastAsia"/>
          <w:sz w:val="24"/>
          <w:szCs w:val="24"/>
        </w:rPr>
        <w:t>7</w:t>
      </w:r>
      <w:r>
        <w:rPr>
          <w:sz w:val="24"/>
          <w:szCs w:val="24"/>
        </w:rPr>
        <w:t>所示。引入TMs后，除Os-B-TiVCO</w:t>
      </w:r>
      <w:r>
        <w:rPr>
          <w:sz w:val="24"/>
          <w:szCs w:val="24"/>
          <w:vertAlign w:val="subscript"/>
        </w:rPr>
        <w:t>2</w:t>
      </w:r>
      <w:r>
        <w:rPr>
          <w:sz w:val="24"/>
          <w:szCs w:val="24"/>
        </w:rPr>
        <w:t>外，其余催化剂与TiVCO</w:t>
      </w:r>
      <w:r>
        <w:rPr>
          <w:sz w:val="24"/>
          <w:szCs w:val="24"/>
          <w:vertAlign w:val="subscript"/>
        </w:rPr>
        <w:t>2</w:t>
      </w:r>
      <w:r>
        <w:rPr>
          <w:sz w:val="24"/>
          <w:szCs w:val="24"/>
        </w:rPr>
        <w:t>相比ΔG</w:t>
      </w:r>
      <w:r>
        <w:rPr>
          <w:sz w:val="24"/>
          <w:szCs w:val="24"/>
          <w:vertAlign w:val="subscript"/>
        </w:rPr>
        <w:t>H</w:t>
      </w:r>
      <w:r>
        <w:rPr>
          <w:sz w:val="24"/>
          <w:szCs w:val="24"/>
        </w:rPr>
        <w:t>的负值显著增加至正值。正的ΔG</w:t>
      </w:r>
      <w:r>
        <w:rPr>
          <w:sz w:val="24"/>
          <w:szCs w:val="24"/>
          <w:vertAlign w:val="subscript"/>
        </w:rPr>
        <w:t>H</w:t>
      </w:r>
      <w:r>
        <w:rPr>
          <w:rFonts w:hint="eastAsia"/>
          <w:sz w:val="24"/>
          <w:szCs w:val="24"/>
        </w:rPr>
        <w:t>（</w:t>
      </w:r>
      <w:r>
        <w:rPr>
          <w:sz w:val="24"/>
          <w:szCs w:val="24"/>
        </w:rPr>
        <w:t>Co-B-TiVCO</w:t>
      </w:r>
      <w:r>
        <w:rPr>
          <w:sz w:val="24"/>
          <w:szCs w:val="24"/>
          <w:vertAlign w:val="subscript"/>
        </w:rPr>
        <w:t>2</w:t>
      </w:r>
      <w:r>
        <w:rPr>
          <w:sz w:val="24"/>
          <w:szCs w:val="24"/>
        </w:rPr>
        <w:t>和Os-N-TiVCO</w:t>
      </w:r>
      <w:r>
        <w:rPr>
          <w:sz w:val="24"/>
          <w:szCs w:val="24"/>
          <w:vertAlign w:val="subscript"/>
        </w:rPr>
        <w:t>2</w:t>
      </w:r>
      <w:r>
        <w:rPr>
          <w:rFonts w:hint="eastAsia"/>
          <w:sz w:val="24"/>
          <w:szCs w:val="24"/>
        </w:rPr>
        <w:t>）</w:t>
      </w:r>
      <w:r>
        <w:rPr>
          <w:sz w:val="24"/>
          <w:szCs w:val="24"/>
        </w:rPr>
        <w:t>代表与氢原子之间具有较弱的相互作用，有利于HER反应</w:t>
      </w:r>
      <w:r>
        <w:rPr>
          <w:sz w:val="24"/>
          <w:szCs w:val="24"/>
        </w:rPr>
        <w:fldChar w:fldCharType="begin"/>
      </w:r>
      <w:r>
        <w:rPr>
          <w:sz w:val="24"/>
          <w:szCs w:val="24"/>
        </w:rPr>
        <w:instrText xml:space="preserve"> ADDIN EN.CITE &lt;EndNote&gt;&lt;Cite&gt;&lt;Author&gt;Zheng&lt;/Author&gt;&lt;Year&gt;2020&lt;/Year&gt;&lt;RecNum&gt;723&lt;/RecNum&gt;&lt;DisplayText&gt;&lt;style face="superscript"&gt;13&lt;/style&gt;&lt;/DisplayText&gt;&lt;record&gt;&lt;rec-number&gt;723&lt;/rec-number&gt;&lt;foreign-keys&gt;&lt;key app="EN" db-id="5rrvsre999902pep9fb5vzfmxtx2s0vssz29" timestamp="1679900619"&gt;723&lt;/key&gt;&lt;key app="ENWeb" db-id=""&gt;0&lt;/key&gt;&lt;/foreign-keys&gt;&lt;ref-type name="Journal Article"&gt;17&lt;/ref-type&gt;&lt;contributors&gt;&lt;authors&gt;&lt;author&gt;Zheng, Jingnan&lt;/author&gt;&lt;author&gt;Sun, Xiang&lt;/author&gt;&lt;author&gt;Qiu, Chenglong&lt;/author&gt;&lt;author&gt;Yan, Yilong&lt;/author&gt;&lt;author&gt;Yao, Zihao&lt;/author&gt;&lt;author&gt;Deng, Shengwei&lt;/author&gt;&lt;author&gt;Zhong, Xing&lt;/author&gt;&lt;author&gt;Zhuang, Guilin&lt;/author&gt;&lt;author&gt;Wei, Zhongzhe&lt;/author&gt;&lt;author&gt;Wang, Jianguo&lt;/author&gt;&lt;/authors&gt;&lt;/contributors&gt;&lt;titles&gt;&lt;title&gt;High-Throughput Screening of Hydrogen Evolution Reaction Catalysts in MXene Materials&lt;/title&gt;&lt;secondary-title&gt;The Journal of Physical Chemistry C&lt;/secondary-title&gt;&lt;/titles&gt;&lt;periodical&gt;&lt;full-title&gt;The Journal of Physical Chemistry C&lt;/full-title&gt;&lt;abbr-1&gt;J. Phys. Chem. C&lt;/abbr-1&gt;&lt;/periodical&gt;&lt;pages&gt;13695-13705&lt;/pages&gt;&lt;volume&gt;124&lt;/volume&gt;&lt;number&gt;25&lt;/number&gt;&lt;section&gt;13695&lt;/section&gt;&lt;dates&gt;&lt;year&gt;2020&lt;/year&gt;&lt;/dates&gt;&lt;isbn&gt;1932-7447&amp;#xD;1932-7455&lt;/isbn&gt;&lt;urls&gt;&lt;/urls&gt;&lt;electronic-resource-num&gt;10.1021/acs.jpcc.0c02265&lt;/electronic-resource-num&gt;&lt;/record&gt;&lt;/Cite&gt;&lt;/EndNote&gt;</w:instrText>
      </w:r>
      <w:r>
        <w:rPr>
          <w:sz w:val="24"/>
          <w:szCs w:val="24"/>
        </w:rPr>
        <w:fldChar w:fldCharType="separate"/>
      </w:r>
      <w:r>
        <w:rPr>
          <w:sz w:val="24"/>
          <w:szCs w:val="24"/>
          <w:vertAlign w:val="superscript"/>
        </w:rPr>
        <w:t>13</w:t>
      </w:r>
      <w:r>
        <w:rPr>
          <w:sz w:val="24"/>
          <w:szCs w:val="24"/>
        </w:rPr>
        <w:fldChar w:fldCharType="end"/>
      </w:r>
      <w:r>
        <w:rPr>
          <w:sz w:val="24"/>
          <w:szCs w:val="24"/>
        </w:rPr>
        <w:t>。交换电流</w:t>
      </w:r>
      <w:r>
        <w:rPr>
          <w:rFonts w:hint="eastAsia"/>
          <w:sz w:val="24"/>
          <w:szCs w:val="24"/>
          <w:lang w:val="en-US" w:eastAsia="zh-CN"/>
        </w:rPr>
        <w:t>密度</w:t>
      </w:r>
      <w:r>
        <w:rPr>
          <w:sz w:val="24"/>
          <w:szCs w:val="24"/>
        </w:rPr>
        <w:t>位置越靠近火山曲线的峰值，催化剂催化性能越好。</w:t>
      </w:r>
      <w:r>
        <w:rPr>
          <w:rFonts w:hint="eastAsia"/>
          <w:sz w:val="24"/>
          <w:szCs w:val="24"/>
          <w:lang w:val="en-US" w:eastAsia="zh-CN"/>
        </w:rPr>
        <w:t>具有</w:t>
      </w:r>
      <w:r>
        <w:rPr>
          <w:sz w:val="24"/>
          <w:szCs w:val="24"/>
        </w:rPr>
        <w:t>负的ΔG</w:t>
      </w:r>
      <w:r>
        <w:rPr>
          <w:sz w:val="24"/>
          <w:szCs w:val="24"/>
          <w:vertAlign w:val="subscript"/>
        </w:rPr>
        <w:t>H</w:t>
      </w:r>
      <w:r>
        <w:rPr>
          <w:sz w:val="24"/>
          <w:szCs w:val="24"/>
        </w:rPr>
        <w:t>和正的ΔG</w:t>
      </w:r>
      <w:r>
        <w:rPr>
          <w:sz w:val="24"/>
          <w:szCs w:val="24"/>
          <w:vertAlign w:val="subscript"/>
        </w:rPr>
        <w:t>H</w:t>
      </w:r>
      <w:r>
        <w:rPr>
          <w:sz w:val="24"/>
          <w:szCs w:val="24"/>
        </w:rPr>
        <w:t>的催化剂分别位于火山的左右两侧，而ΔG</w:t>
      </w:r>
      <w:r>
        <w:rPr>
          <w:sz w:val="24"/>
          <w:szCs w:val="24"/>
          <w:vertAlign w:val="subscript"/>
        </w:rPr>
        <w:t>H</w:t>
      </w:r>
      <w:r>
        <w:rPr>
          <w:sz w:val="24"/>
          <w:szCs w:val="24"/>
        </w:rPr>
        <w:t>接近于零的催化剂位于火山曲线的峰顶。从图</w:t>
      </w:r>
      <w:r>
        <w:rPr>
          <w:rFonts w:hint="eastAsia"/>
          <w:sz w:val="24"/>
          <w:szCs w:val="24"/>
        </w:rPr>
        <w:t>7（</w:t>
      </w:r>
      <w:r>
        <w:rPr>
          <w:sz w:val="24"/>
          <w:szCs w:val="24"/>
        </w:rPr>
        <w:t>d</w:t>
      </w:r>
      <w:r>
        <w:rPr>
          <w:rFonts w:hint="eastAsia"/>
          <w:sz w:val="24"/>
          <w:szCs w:val="24"/>
        </w:rPr>
        <w:t>）</w:t>
      </w:r>
      <w:r>
        <w:rPr>
          <w:sz w:val="24"/>
          <w:szCs w:val="24"/>
        </w:rPr>
        <w:t>、</w:t>
      </w:r>
      <w:r>
        <w:rPr>
          <w:rFonts w:hint="eastAsia"/>
          <w:sz w:val="24"/>
          <w:szCs w:val="24"/>
        </w:rPr>
        <w:t>（</w:t>
      </w:r>
      <w:r>
        <w:rPr>
          <w:sz w:val="24"/>
          <w:szCs w:val="24"/>
        </w:rPr>
        <w:t>e</w:t>
      </w:r>
      <w:r>
        <w:rPr>
          <w:rFonts w:hint="eastAsia"/>
          <w:sz w:val="24"/>
          <w:szCs w:val="24"/>
        </w:rPr>
        <w:t>）</w:t>
      </w:r>
      <w:r>
        <w:rPr>
          <w:sz w:val="24"/>
          <w:szCs w:val="24"/>
        </w:rPr>
        <w:t>和</w:t>
      </w:r>
      <w:r>
        <w:rPr>
          <w:rFonts w:hint="eastAsia"/>
          <w:sz w:val="24"/>
          <w:szCs w:val="24"/>
        </w:rPr>
        <w:t>（</w:t>
      </w:r>
      <w:r>
        <w:rPr>
          <w:sz w:val="24"/>
          <w:szCs w:val="24"/>
        </w:rPr>
        <w:t>f</w:t>
      </w:r>
      <w:r>
        <w:rPr>
          <w:rFonts w:hint="eastAsia"/>
          <w:sz w:val="24"/>
          <w:szCs w:val="24"/>
        </w:rPr>
        <w:t>）</w:t>
      </w:r>
      <w:r>
        <w:rPr>
          <w:sz w:val="24"/>
          <w:szCs w:val="24"/>
        </w:rPr>
        <w:t>可以看出，</w:t>
      </w:r>
      <w:bookmarkStart w:id="62" w:name="OLE_LINK21"/>
      <w:r>
        <w:rPr>
          <w:sz w:val="24"/>
          <w:szCs w:val="24"/>
        </w:rPr>
        <w:t>Nb、Ta、Co-B-TiVCO</w:t>
      </w:r>
      <w:r>
        <w:rPr>
          <w:sz w:val="24"/>
          <w:szCs w:val="24"/>
          <w:vertAlign w:val="subscript"/>
        </w:rPr>
        <w:t>2</w:t>
      </w:r>
      <w:r>
        <w:rPr>
          <w:sz w:val="24"/>
          <w:szCs w:val="24"/>
        </w:rPr>
        <w:t>、Os-N-</w:t>
      </w:r>
      <w:bookmarkStart w:id="63" w:name="OLE_LINK20"/>
      <w:r>
        <w:rPr>
          <w:sz w:val="24"/>
          <w:szCs w:val="24"/>
        </w:rPr>
        <w:t>TiVCO</w:t>
      </w:r>
      <w:r>
        <w:rPr>
          <w:sz w:val="24"/>
          <w:szCs w:val="24"/>
          <w:vertAlign w:val="subscript"/>
        </w:rPr>
        <w:t>2</w:t>
      </w:r>
      <w:bookmarkEnd w:id="63"/>
      <w:r>
        <w:rPr>
          <w:sz w:val="24"/>
          <w:szCs w:val="24"/>
        </w:rPr>
        <w:t>和Nb-P-TiVCO</w:t>
      </w:r>
      <w:r>
        <w:rPr>
          <w:sz w:val="24"/>
          <w:szCs w:val="24"/>
          <w:vertAlign w:val="subscript"/>
        </w:rPr>
        <w:t>2</w:t>
      </w:r>
      <w:bookmarkEnd w:id="62"/>
      <w:r>
        <w:rPr>
          <w:sz w:val="24"/>
          <w:szCs w:val="24"/>
        </w:rPr>
        <w:t>的交换电流</w:t>
      </w:r>
      <w:r>
        <w:rPr>
          <w:rFonts w:hint="eastAsia"/>
          <w:sz w:val="24"/>
          <w:szCs w:val="24"/>
          <w:lang w:val="en-US" w:eastAsia="zh-CN"/>
        </w:rPr>
        <w:t>密度</w:t>
      </w:r>
      <w:r>
        <w:rPr>
          <w:sz w:val="24"/>
          <w:szCs w:val="24"/>
        </w:rPr>
        <w:t>值位于顶点附近，具有优异的HER活性。显然，TMs的掺杂可以有效地提高大多数NM-TiVCO</w:t>
      </w:r>
      <w:r>
        <w:rPr>
          <w:sz w:val="24"/>
          <w:szCs w:val="24"/>
          <w:vertAlign w:val="subscript"/>
        </w:rPr>
        <w:t>2</w:t>
      </w:r>
      <w:r>
        <w:rPr>
          <w:sz w:val="24"/>
          <w:szCs w:val="24"/>
        </w:rPr>
        <w:t>的HER活性，特别是</w:t>
      </w:r>
      <w:bookmarkStart w:id="64" w:name="OLE_LINK33"/>
      <w:r>
        <w:rPr>
          <w:sz w:val="24"/>
          <w:szCs w:val="24"/>
        </w:rPr>
        <w:t>Nb、Ta、Co-B-TiVCO</w:t>
      </w:r>
      <w:r>
        <w:rPr>
          <w:sz w:val="24"/>
          <w:szCs w:val="24"/>
          <w:vertAlign w:val="subscript"/>
        </w:rPr>
        <w:t>2</w:t>
      </w:r>
      <w:r>
        <w:rPr>
          <w:sz w:val="24"/>
          <w:szCs w:val="24"/>
        </w:rPr>
        <w:t>、Os-N-TiVCO</w:t>
      </w:r>
      <w:r>
        <w:rPr>
          <w:sz w:val="24"/>
          <w:szCs w:val="24"/>
          <w:vertAlign w:val="subscript"/>
        </w:rPr>
        <w:t>2</w:t>
      </w:r>
      <w:r>
        <w:rPr>
          <w:sz w:val="24"/>
          <w:szCs w:val="24"/>
        </w:rPr>
        <w:t>和Nb-P-TiVCO</w:t>
      </w:r>
      <w:r>
        <w:rPr>
          <w:sz w:val="24"/>
          <w:szCs w:val="24"/>
          <w:vertAlign w:val="subscript"/>
        </w:rPr>
        <w:t>2</w:t>
      </w:r>
      <w:bookmarkEnd w:id="64"/>
      <w:r>
        <w:rPr>
          <w:sz w:val="24"/>
          <w:szCs w:val="24"/>
        </w:rPr>
        <w:t>。</w:t>
      </w:r>
    </w:p>
    <w:p>
      <w:pPr>
        <w:spacing w:line="360" w:lineRule="auto"/>
        <w:jc w:val="center"/>
      </w:pPr>
      <w:r>
        <w:drawing>
          <wp:inline distT="0" distB="0" distL="0" distR="0">
            <wp:extent cx="5186045" cy="5669280"/>
            <wp:effectExtent l="0" t="0" r="14605" b="7620"/>
            <wp:docPr id="14" name="图片 14" descr="C:\Users\86198\Documents\WeChat Files\wxid_tr0tnlp7g3rl22\FileStorage\Temp\169837621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86198\Documents\WeChat Files\wxid_tr0tnlp7g3rl22\FileStorage\Temp\16983762111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86045" cy="5669280"/>
                    </a:xfrm>
                    <a:prstGeom prst="rect">
                      <a:avLst/>
                    </a:prstGeom>
                    <a:noFill/>
                    <a:ln>
                      <a:noFill/>
                    </a:ln>
                  </pic:spPr>
                </pic:pic>
              </a:graphicData>
            </a:graphic>
          </wp:inline>
        </w:drawing>
      </w:r>
    </w:p>
    <w:p>
      <w:pPr>
        <w:pStyle w:val="5"/>
        <w:spacing w:line="360" w:lineRule="auto"/>
        <w:jc w:val="center"/>
        <w:rPr>
          <w:rFonts w:ascii="Times New Roman" w:hAnsi="Times New Roman" w:eastAsia="宋体"/>
          <w:color w:val="000000"/>
          <w:kern w:val="0"/>
          <w:sz w:val="21"/>
          <w:szCs w:val="21"/>
          <w:lang w:bidi="ar"/>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7</w:t>
      </w:r>
      <w:r>
        <w:rPr>
          <w:rFonts w:ascii="Times New Roman" w:hAnsi="Times New Roman" w:eastAsia="宋体"/>
          <w:sz w:val="21"/>
          <w:szCs w:val="21"/>
        </w:rPr>
        <w:fldChar w:fldCharType="end"/>
      </w:r>
      <w:bookmarkStart w:id="65" w:name="_Toc7402"/>
      <w:r>
        <w:rPr>
          <w:rFonts w:ascii="Times New Roman" w:hAnsi="Times New Roman" w:eastAsia="宋体"/>
          <w:color w:val="000000"/>
          <w:kern w:val="0"/>
          <w:sz w:val="21"/>
          <w:szCs w:val="21"/>
          <w:lang w:bidi="ar"/>
        </w:rPr>
        <w:t>氢吸附自由能</w:t>
      </w:r>
      <w:bookmarkStart w:id="66" w:name="OLE_LINK22"/>
      <w:r>
        <w:rPr>
          <w:rFonts w:hint="eastAsia" w:ascii="Times New Roman" w:hAnsi="Times New Roman" w:eastAsia="宋体"/>
          <w:color w:val="000000"/>
          <w:kern w:val="0"/>
          <w:sz w:val="21"/>
          <w:szCs w:val="21"/>
          <w:lang w:bidi="ar"/>
        </w:rPr>
        <w:t>（</w:t>
      </w:r>
      <w:r>
        <w:rPr>
          <w:rFonts w:ascii="Times New Roman" w:hAnsi="Times New Roman" w:eastAsia="宋体"/>
          <w:color w:val="000000"/>
          <w:kern w:val="0"/>
          <w:sz w:val="21"/>
          <w:szCs w:val="21"/>
          <w:lang w:bidi="ar"/>
        </w:rPr>
        <w:t>ΔG</w:t>
      </w:r>
      <w:r>
        <w:rPr>
          <w:rFonts w:ascii="Times New Roman" w:hAnsi="Times New Roman" w:eastAsia="宋体"/>
          <w:color w:val="000000"/>
          <w:kern w:val="0"/>
          <w:sz w:val="21"/>
          <w:szCs w:val="21"/>
          <w:vertAlign w:val="subscript"/>
          <w:lang w:bidi="ar"/>
        </w:rPr>
        <w:t>H</w:t>
      </w:r>
      <w:bookmarkEnd w:id="66"/>
      <w:r>
        <w:rPr>
          <w:rFonts w:hint="eastAsia" w:ascii="Times New Roman" w:hAnsi="Times New Roman" w:eastAsia="宋体"/>
          <w:color w:val="000000"/>
          <w:kern w:val="0"/>
          <w:sz w:val="21"/>
          <w:szCs w:val="21"/>
          <w:lang w:bidi="ar"/>
        </w:rPr>
        <w:t>）</w:t>
      </w:r>
      <w:r>
        <w:rPr>
          <w:rFonts w:ascii="Times New Roman" w:hAnsi="Times New Roman" w:eastAsia="宋体"/>
          <w:color w:val="000000"/>
          <w:kern w:val="0"/>
          <w:sz w:val="21"/>
          <w:szCs w:val="21"/>
          <w:lang w:bidi="ar"/>
        </w:rPr>
        <w:t>和电流密度分布图</w:t>
      </w:r>
      <w:bookmarkEnd w:id="65"/>
    </w:p>
    <w:p/>
    <w:p>
      <w:pPr>
        <w:numPr>
          <w:ilvl w:val="0"/>
          <w:numId w:val="2"/>
        </w:numPr>
        <w:spacing w:line="360" w:lineRule="auto"/>
        <w:ind w:firstLine="480" w:firstLineChars="200"/>
        <w:jc w:val="left"/>
        <w:rPr>
          <w:sz w:val="24"/>
          <w:szCs w:val="24"/>
        </w:rPr>
      </w:pPr>
      <w:r>
        <w:rPr>
          <w:rFonts w:hint="eastAsia"/>
          <w:sz w:val="24"/>
          <w:szCs w:val="24"/>
        </w:rPr>
        <w:t>电子结构分析</w:t>
      </w:r>
    </w:p>
    <w:p>
      <w:pPr>
        <w:spacing w:line="360" w:lineRule="auto"/>
        <w:ind w:firstLine="480" w:firstLineChars="200"/>
        <w:rPr>
          <w:rFonts w:hint="eastAsia"/>
          <w:sz w:val="24"/>
          <w:szCs w:val="24"/>
        </w:rPr>
      </w:pPr>
      <w:r>
        <w:rPr>
          <w:rFonts w:hint="eastAsia"/>
          <w:sz w:val="24"/>
          <w:szCs w:val="24"/>
        </w:rPr>
        <w:t>电子结构分析能够从电子角度了解反应的内在机理，较好的解释和指导催化剂的理论设计，具有重要的研究意义。常见的电子结构分析包括：态密度分析</w:t>
      </w:r>
      <w:r>
        <w:rPr>
          <w:rFonts w:hint="eastAsia"/>
          <w:sz w:val="24"/>
          <w:szCs w:val="24"/>
          <w:lang w:eastAsia="zh-CN"/>
        </w:rPr>
        <w:t>、</w:t>
      </w:r>
      <w:r>
        <w:rPr>
          <w:rFonts w:hint="eastAsia"/>
          <w:sz w:val="24"/>
          <w:szCs w:val="24"/>
        </w:rPr>
        <w:t>Bader电荷分析</w:t>
      </w:r>
      <w:r>
        <w:rPr>
          <w:rFonts w:hint="eastAsia"/>
          <w:sz w:val="24"/>
          <w:szCs w:val="24"/>
          <w:lang w:eastAsia="zh-CN"/>
        </w:rPr>
        <w:t>、</w:t>
      </w:r>
      <w:r>
        <w:rPr>
          <w:rFonts w:hint="eastAsia"/>
          <w:sz w:val="24"/>
          <w:szCs w:val="24"/>
        </w:rPr>
        <w:t>差分电荷分析和静电势分析等。我们同样对计算体系进行电子结构分析，以</w:t>
      </w:r>
      <w:bookmarkStart w:id="67" w:name="OLE_LINK30"/>
      <w:r>
        <w:rPr>
          <w:rFonts w:hint="eastAsia"/>
          <w:sz w:val="24"/>
          <w:szCs w:val="24"/>
        </w:rPr>
        <w:t>TM-B-TiVCO</w:t>
      </w:r>
      <w:r>
        <w:rPr>
          <w:rFonts w:hint="eastAsia"/>
          <w:sz w:val="24"/>
          <w:szCs w:val="24"/>
          <w:vertAlign w:val="subscript"/>
        </w:rPr>
        <w:t>2</w:t>
      </w:r>
      <w:bookmarkEnd w:id="67"/>
      <w:r>
        <w:rPr>
          <w:rFonts w:hint="eastAsia"/>
          <w:sz w:val="24"/>
          <w:szCs w:val="24"/>
        </w:rPr>
        <w:t>为例，我们进行了态密度计算及分析，如图8所示。蓝色虚线代表表面氧原子的p带中心，它被定义为2p轨道相对于费米能级的平均能量位置。可以看出，从Nb掺杂到Co掺杂，B-TiVCO</w:t>
      </w:r>
      <w:r>
        <w:rPr>
          <w:rFonts w:hint="eastAsia"/>
          <w:sz w:val="24"/>
          <w:szCs w:val="24"/>
          <w:vertAlign w:val="subscript"/>
        </w:rPr>
        <w:t>2</w:t>
      </w:r>
      <w:r>
        <w:rPr>
          <w:rFonts w:hint="eastAsia"/>
          <w:sz w:val="24"/>
          <w:szCs w:val="24"/>
        </w:rPr>
        <w:t>中氧原子的p带中心离费米能级越来越远。由于金属修饰导致p带中心左移，H和O之间的相互作用减弱，与裸B-TiVCO</w:t>
      </w:r>
      <w:r>
        <w:rPr>
          <w:rFonts w:hint="eastAsia"/>
          <w:sz w:val="24"/>
          <w:szCs w:val="24"/>
          <w:vertAlign w:val="subscript"/>
        </w:rPr>
        <w:t>2</w:t>
      </w:r>
      <w:r>
        <w:rPr>
          <w:rFonts w:hint="eastAsia"/>
          <w:sz w:val="24"/>
          <w:szCs w:val="24"/>
        </w:rPr>
        <w:t>相比，HER活性提高。这些结果表明，TM掺杂会使氧的p带中心下移，减小成键轨道和反键轨道之间的能隙，降低对H的吸附强度，最终提高催化活性。</w:t>
      </w:r>
    </w:p>
    <w:p>
      <w:pPr>
        <w:spacing w:line="360" w:lineRule="auto"/>
        <w:ind w:firstLine="480" w:firstLineChars="200"/>
        <w:rPr>
          <w:rFonts w:hint="eastAsia"/>
          <w:sz w:val="24"/>
          <w:szCs w:val="24"/>
        </w:rPr>
      </w:pPr>
    </w:p>
    <w:p>
      <w:pPr>
        <w:spacing w:line="360" w:lineRule="auto"/>
        <w:jc w:val="center"/>
        <w:rPr>
          <w:sz w:val="24"/>
          <w:szCs w:val="24"/>
        </w:rPr>
      </w:pPr>
      <w:r>
        <w:drawing>
          <wp:inline distT="0" distB="0" distL="114300" distR="114300">
            <wp:extent cx="3804920" cy="2251710"/>
            <wp:effectExtent l="0" t="0" r="0" b="152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3"/>
                    <a:stretch>
                      <a:fillRect/>
                    </a:stretch>
                  </pic:blipFill>
                  <pic:spPr>
                    <a:xfrm>
                      <a:off x="0" y="0"/>
                      <a:ext cx="3804920" cy="2251710"/>
                    </a:xfrm>
                    <a:prstGeom prst="rect">
                      <a:avLst/>
                    </a:prstGeom>
                    <a:noFill/>
                    <a:ln>
                      <a:noFill/>
                    </a:ln>
                  </pic:spPr>
                </pic:pic>
              </a:graphicData>
            </a:graphic>
          </wp:inline>
        </w:drawing>
      </w:r>
    </w:p>
    <w:p>
      <w:pPr>
        <w:pStyle w:val="5"/>
        <w:spacing w:line="360" w:lineRule="auto"/>
        <w:ind w:firstLine="420" w:firstLineChars="200"/>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8</w:t>
      </w:r>
      <w:r>
        <w:rPr>
          <w:rFonts w:ascii="Times New Roman" w:hAnsi="Times New Roman" w:eastAsia="宋体"/>
          <w:sz w:val="21"/>
          <w:szCs w:val="21"/>
        </w:rPr>
        <w:fldChar w:fldCharType="end"/>
      </w:r>
      <w:bookmarkStart w:id="68" w:name="_Toc31209"/>
      <w:r>
        <w:rPr>
          <w:rFonts w:hint="eastAsia"/>
        </w:rPr>
        <w:t xml:space="preserve"> </w:t>
      </w:r>
      <w:r>
        <w:rPr>
          <w:rFonts w:ascii="Times New Roman" w:hAnsi="Times New Roman" w:eastAsia="宋体"/>
          <w:sz w:val="21"/>
          <w:szCs w:val="21"/>
        </w:rPr>
        <w:t>TM-B-TiVCO</w:t>
      </w:r>
      <w:r>
        <w:rPr>
          <w:rFonts w:ascii="Times New Roman" w:hAnsi="Times New Roman" w:eastAsia="宋体"/>
          <w:sz w:val="21"/>
          <w:szCs w:val="21"/>
          <w:vertAlign w:val="subscript"/>
        </w:rPr>
        <w:t>2</w:t>
      </w:r>
      <w:r>
        <w:rPr>
          <w:rFonts w:ascii="Times New Roman" w:hAnsi="Times New Roman" w:eastAsia="宋体"/>
          <w:sz w:val="21"/>
          <w:szCs w:val="21"/>
        </w:rPr>
        <w:t>态密度图</w:t>
      </w:r>
      <w:bookmarkEnd w:id="68"/>
    </w:p>
    <w:p>
      <w:pPr>
        <w:rPr>
          <w:rFonts w:hint="eastAsia"/>
        </w:rPr>
      </w:pPr>
    </w:p>
    <w:p>
      <w:pPr>
        <w:spacing w:line="360" w:lineRule="auto"/>
        <w:ind w:firstLine="480" w:firstLineChars="200"/>
        <w:jc w:val="left"/>
        <w:rPr>
          <w:sz w:val="24"/>
          <w:szCs w:val="24"/>
        </w:rPr>
      </w:pPr>
      <w:r>
        <w:rPr>
          <w:sz w:val="24"/>
          <w:szCs w:val="24"/>
          <w:lang w:bidi="ar"/>
        </w:rPr>
        <w:t>综上所述</w:t>
      </w:r>
      <w:r>
        <w:rPr>
          <w:rFonts w:hint="eastAsia"/>
          <w:sz w:val="24"/>
          <w:szCs w:val="24"/>
          <w:lang w:bidi="ar"/>
        </w:rPr>
        <w:t>，我们采用能量描述符</w:t>
      </w:r>
      <w:bookmarkStart w:id="69" w:name="OLE_LINK31"/>
      <w:r>
        <w:rPr>
          <w:color w:val="000000"/>
          <w:kern w:val="0"/>
          <w:sz w:val="24"/>
          <w:szCs w:val="24"/>
          <w:lang w:bidi="ar"/>
        </w:rPr>
        <w:t>ΔG</w:t>
      </w:r>
      <w:r>
        <w:rPr>
          <w:color w:val="000000"/>
          <w:kern w:val="0"/>
          <w:sz w:val="24"/>
          <w:szCs w:val="24"/>
          <w:vertAlign w:val="subscript"/>
          <w:lang w:bidi="ar"/>
        </w:rPr>
        <w:t>H</w:t>
      </w:r>
      <w:bookmarkEnd w:id="69"/>
      <w:r>
        <w:rPr>
          <w:rFonts w:hint="eastAsia"/>
          <w:sz w:val="24"/>
          <w:szCs w:val="24"/>
          <w:lang w:bidi="ar"/>
        </w:rPr>
        <w:t>对HER反应进行高通量筛选，</w:t>
      </w:r>
      <w:bookmarkStart w:id="70" w:name="OLE_LINK32"/>
      <w:r>
        <w:rPr>
          <w:color w:val="000000"/>
          <w:kern w:val="0"/>
          <w:sz w:val="24"/>
          <w:szCs w:val="24"/>
          <w:lang w:bidi="ar"/>
        </w:rPr>
        <w:t>ΔG</w:t>
      </w:r>
      <w:r>
        <w:rPr>
          <w:color w:val="000000"/>
          <w:kern w:val="0"/>
          <w:sz w:val="24"/>
          <w:szCs w:val="24"/>
          <w:vertAlign w:val="subscript"/>
          <w:lang w:bidi="ar"/>
        </w:rPr>
        <w:t>H</w:t>
      </w:r>
      <w:bookmarkEnd w:id="70"/>
      <w:r>
        <w:rPr>
          <w:rFonts w:hint="eastAsia"/>
          <w:sz w:val="24"/>
          <w:szCs w:val="24"/>
          <w:lang w:bidi="ar"/>
        </w:rPr>
        <w:t>能够很好的反映催化活性的好坏，避免了计算整个反应路径，大大降低了计算时间和成本。通过以</w:t>
      </w:r>
      <w:r>
        <w:rPr>
          <w:color w:val="000000"/>
          <w:kern w:val="0"/>
          <w:sz w:val="24"/>
          <w:szCs w:val="24"/>
          <w:lang w:bidi="ar"/>
        </w:rPr>
        <w:t>ΔG</w:t>
      </w:r>
      <w:r>
        <w:rPr>
          <w:color w:val="000000"/>
          <w:kern w:val="0"/>
          <w:sz w:val="24"/>
          <w:szCs w:val="24"/>
          <w:vertAlign w:val="subscript"/>
          <w:lang w:bidi="ar"/>
        </w:rPr>
        <w:t>H</w:t>
      </w:r>
      <w:r>
        <w:rPr>
          <w:rFonts w:hint="eastAsia"/>
          <w:sz w:val="24"/>
          <w:szCs w:val="24"/>
          <w:lang w:bidi="ar"/>
        </w:rPr>
        <w:t>为标准的高通量筛选，我们筛选出</w:t>
      </w:r>
      <w:r>
        <w:rPr>
          <w:sz w:val="24"/>
          <w:szCs w:val="24"/>
        </w:rPr>
        <w:t>Nb、Ta、Co-B-</w:t>
      </w:r>
      <w:bookmarkStart w:id="71" w:name="OLE_LINK34"/>
      <w:r>
        <w:rPr>
          <w:sz w:val="24"/>
          <w:szCs w:val="24"/>
        </w:rPr>
        <w:t>TiVCO</w:t>
      </w:r>
      <w:r>
        <w:rPr>
          <w:sz w:val="24"/>
          <w:szCs w:val="24"/>
          <w:vertAlign w:val="subscript"/>
        </w:rPr>
        <w:t>2</w:t>
      </w:r>
      <w:bookmarkEnd w:id="71"/>
      <w:r>
        <w:rPr>
          <w:sz w:val="24"/>
          <w:szCs w:val="24"/>
        </w:rPr>
        <w:t>、Os-N-TiVCO</w:t>
      </w:r>
      <w:r>
        <w:rPr>
          <w:sz w:val="24"/>
          <w:szCs w:val="24"/>
          <w:vertAlign w:val="subscript"/>
        </w:rPr>
        <w:t>2</w:t>
      </w:r>
      <w:r>
        <w:rPr>
          <w:sz w:val="24"/>
          <w:szCs w:val="24"/>
        </w:rPr>
        <w:t>和Nb-P-TiVCO</w:t>
      </w:r>
      <w:r>
        <w:rPr>
          <w:sz w:val="24"/>
          <w:szCs w:val="24"/>
          <w:vertAlign w:val="subscript"/>
        </w:rPr>
        <w:t>2</w:t>
      </w:r>
      <w:r>
        <w:rPr>
          <w:rFonts w:hint="eastAsia"/>
          <w:sz w:val="24"/>
          <w:szCs w:val="24"/>
        </w:rPr>
        <w:t>五种性能优异的催化剂，与</w:t>
      </w:r>
      <w:r>
        <w:rPr>
          <w:sz w:val="24"/>
          <w:szCs w:val="24"/>
        </w:rPr>
        <w:t>TiVCO</w:t>
      </w:r>
      <w:r>
        <w:rPr>
          <w:sz w:val="24"/>
          <w:szCs w:val="24"/>
          <w:vertAlign w:val="subscript"/>
        </w:rPr>
        <w:t>2</w:t>
      </w:r>
      <w:r>
        <w:rPr>
          <w:rFonts w:hint="eastAsia"/>
          <w:sz w:val="24"/>
          <w:szCs w:val="24"/>
        </w:rPr>
        <w:t>催化剂相比，催化性能大大提高，并通过电子结构分析，解释了性能提高的内在原因，为后续催化剂的设计提供指导和帮助。</w:t>
      </w:r>
    </w:p>
    <w:p>
      <w:pPr>
        <w:spacing w:line="360" w:lineRule="auto"/>
        <w:ind w:firstLine="480" w:firstLineChars="200"/>
        <w:jc w:val="left"/>
        <w:rPr>
          <w:rFonts w:hint="eastAsia"/>
          <w:color w:val="000000"/>
          <w:kern w:val="0"/>
          <w:sz w:val="24"/>
          <w:szCs w:val="24"/>
          <w:lang w:bidi="ar"/>
        </w:rPr>
      </w:pPr>
    </w:p>
    <w:bookmarkEnd w:id="53"/>
    <w:p>
      <w:pPr>
        <w:pStyle w:val="3"/>
        <w:spacing w:after="163"/>
        <w:rPr>
          <w:rStyle w:val="20"/>
          <w:rFonts w:ascii="Times New Roman" w:hAnsi="Times New Roman"/>
          <w:szCs w:val="28"/>
        </w:rPr>
      </w:pPr>
      <w:bookmarkStart w:id="72" w:name="_Toc6960"/>
      <w:r>
        <w:rPr>
          <w:rStyle w:val="20"/>
          <w:rFonts w:ascii="Times New Roman" w:hAnsi="Times New Roman"/>
          <w:szCs w:val="28"/>
        </w:rPr>
        <w:t>2.2氢能关键材料量子化学数据库</w:t>
      </w:r>
      <w:bookmarkEnd w:id="72"/>
    </w:p>
    <w:p>
      <w:pPr>
        <w:spacing w:line="360" w:lineRule="auto"/>
        <w:ind w:firstLine="480" w:firstLineChars="200"/>
        <w:rPr>
          <w:color w:val="000000"/>
          <w:sz w:val="24"/>
          <w:szCs w:val="24"/>
        </w:rPr>
      </w:pPr>
      <w:bookmarkStart w:id="73" w:name="OLE_LINK1"/>
      <w:r>
        <w:rPr>
          <w:color w:val="000000"/>
          <w:sz w:val="24"/>
          <w:szCs w:val="24"/>
        </w:rPr>
        <w:t>本工作提供完整的</w:t>
      </w:r>
      <w:bookmarkStart w:id="74" w:name="OLE_LINK24"/>
      <w:r>
        <w:rPr>
          <w:color w:val="000000"/>
          <w:sz w:val="24"/>
          <w:szCs w:val="24"/>
        </w:rPr>
        <w:t>数据库构建流程</w:t>
      </w:r>
      <w:bookmarkEnd w:id="74"/>
      <w:r>
        <w:rPr>
          <w:color w:val="000000"/>
          <w:sz w:val="24"/>
          <w:szCs w:val="24"/>
        </w:rPr>
        <w:t>，在这个过程中将量子化学数据库分为计算数据库、文献库和</w:t>
      </w:r>
      <w:r>
        <w:rPr>
          <w:sz w:val="24"/>
          <w:szCs w:val="24"/>
        </w:rPr>
        <w:t>材料数据</w:t>
      </w:r>
      <w:r>
        <w:rPr>
          <w:color w:val="000000"/>
          <w:sz w:val="24"/>
          <w:szCs w:val="24"/>
        </w:rPr>
        <w:t>库。对于计算数据库，</w:t>
      </w:r>
      <w:r>
        <w:rPr>
          <w:rFonts w:hint="eastAsia"/>
          <w:bCs/>
          <w:sz w:val="24"/>
          <w:szCs w:val="24"/>
        </w:rPr>
        <w:t>我们对TiVCO</w:t>
      </w:r>
      <w:r>
        <w:rPr>
          <w:rFonts w:hint="eastAsia"/>
          <w:bCs/>
          <w:sz w:val="24"/>
          <w:szCs w:val="24"/>
          <w:vertAlign w:val="subscript"/>
        </w:rPr>
        <w:t>2</w:t>
      </w:r>
      <w:r>
        <w:rPr>
          <w:rFonts w:hint="eastAsia"/>
          <w:bCs/>
          <w:sz w:val="24"/>
          <w:szCs w:val="24"/>
        </w:rPr>
        <w:t>材料进行改性</w:t>
      </w:r>
      <w:r>
        <w:rPr>
          <w:rFonts w:hint="eastAsia"/>
          <w:bCs/>
          <w:sz w:val="24"/>
          <w:szCs w:val="24"/>
          <w:lang w:eastAsia="zh-CN"/>
        </w:rPr>
        <w:t>，</w:t>
      </w:r>
      <w:r>
        <w:rPr>
          <w:rFonts w:hint="eastAsia"/>
          <w:bCs/>
          <w:sz w:val="24"/>
          <w:szCs w:val="24"/>
        </w:rPr>
        <w:t>研究</w:t>
      </w:r>
      <w:r>
        <w:rPr>
          <w:rFonts w:hint="eastAsia"/>
          <w:bCs/>
          <w:sz w:val="24"/>
          <w:szCs w:val="24"/>
          <w:lang w:val="en-US" w:eastAsia="zh-CN"/>
        </w:rPr>
        <w:t>其对</w:t>
      </w:r>
      <w:r>
        <w:rPr>
          <w:rFonts w:hint="eastAsia"/>
          <w:bCs/>
          <w:sz w:val="24"/>
          <w:szCs w:val="24"/>
        </w:rPr>
        <w:t>HER反应活性的影响，以氢吸附自由能为标准，计算了78种材料的催化活性，最后得到包含催化剂结构信息、电子结构信息和元素特有信息共23种数据。</w:t>
      </w:r>
      <w:r>
        <w:rPr>
          <w:color w:val="000000"/>
          <w:sz w:val="24"/>
          <w:szCs w:val="24"/>
        </w:rPr>
        <w:t>对于文献库，主要利用</w:t>
      </w:r>
      <w:r>
        <w:rPr>
          <w:rFonts w:hint="eastAsia"/>
          <w:sz w:val="24"/>
          <w:szCs w:val="24"/>
        </w:rPr>
        <w:t>W</w:t>
      </w:r>
      <w:r>
        <w:rPr>
          <w:sz w:val="24"/>
          <w:szCs w:val="24"/>
        </w:rPr>
        <w:t xml:space="preserve">eb of </w:t>
      </w:r>
      <w:r>
        <w:rPr>
          <w:rFonts w:hint="eastAsia"/>
          <w:sz w:val="24"/>
          <w:szCs w:val="24"/>
        </w:rPr>
        <w:t>S</w:t>
      </w:r>
      <w:r>
        <w:rPr>
          <w:sz w:val="24"/>
          <w:szCs w:val="24"/>
        </w:rPr>
        <w:t>cience</w:t>
      </w:r>
      <w:r>
        <w:rPr>
          <w:color w:val="000000"/>
          <w:sz w:val="24"/>
          <w:szCs w:val="24"/>
        </w:rPr>
        <w:t>核心合集数据库和zotero文献管理软件提取论文中作者、DOI、期刊、摘要等信息。对于</w:t>
      </w:r>
      <w:r>
        <w:rPr>
          <w:sz w:val="24"/>
          <w:szCs w:val="24"/>
        </w:rPr>
        <w:t>材料数据</w:t>
      </w:r>
      <w:r>
        <w:rPr>
          <w:color w:val="000000"/>
          <w:sz w:val="24"/>
          <w:szCs w:val="24"/>
        </w:rPr>
        <w:t>库，基于文献库所提供的DOI批量下载PDF，然后利用ChatGPT编写代码，提取PDF中的图片以及材料数据等信息。每个部分的流程将在下文进行介绍（图</w:t>
      </w:r>
      <w:r>
        <w:rPr>
          <w:rFonts w:hint="eastAsia"/>
          <w:color w:val="000000"/>
          <w:sz w:val="24"/>
          <w:szCs w:val="24"/>
        </w:rPr>
        <w:t>9</w:t>
      </w:r>
      <w:r>
        <w:rPr>
          <w:color w:val="000000"/>
          <w:sz w:val="24"/>
          <w:szCs w:val="24"/>
        </w:rPr>
        <w:t>）。</w:t>
      </w:r>
    </w:p>
    <w:p>
      <w:pPr>
        <w:spacing w:line="360" w:lineRule="auto"/>
        <w:ind w:firstLine="480" w:firstLineChars="200"/>
        <w:rPr>
          <w:rFonts w:hint="eastAsia"/>
          <w:color w:val="000000"/>
          <w:sz w:val="24"/>
          <w:szCs w:val="24"/>
        </w:rPr>
      </w:pPr>
    </w:p>
    <w:bookmarkEnd w:id="73"/>
    <w:p>
      <w:pPr>
        <w:spacing w:line="331" w:lineRule="auto"/>
        <w:jc w:val="center"/>
        <w:rPr>
          <w:color w:val="000000"/>
          <w:sz w:val="24"/>
          <w:szCs w:val="24"/>
        </w:rPr>
      </w:pPr>
      <w:r>
        <w:drawing>
          <wp:inline distT="0" distB="0" distL="0" distR="0">
            <wp:extent cx="5274310" cy="2957830"/>
            <wp:effectExtent l="0" t="0" r="2540" b="13970"/>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图片 10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957996"/>
                    </a:xfrm>
                    <a:prstGeom prst="rect">
                      <a:avLst/>
                    </a:prstGeom>
                    <a:noFill/>
                    <a:ln>
                      <a:noFill/>
                    </a:ln>
                  </pic:spPr>
                </pic:pic>
              </a:graphicData>
            </a:graphic>
          </wp:inline>
        </w:drawing>
      </w:r>
    </w:p>
    <w:p>
      <w:pPr>
        <w:pStyle w:val="5"/>
        <w:jc w:val="center"/>
        <w:rPr>
          <w:rFonts w:ascii="Times New Roman" w:hAnsi="Times New Roman" w:eastAsia="宋体"/>
          <w:color w:val="000000"/>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9</w:t>
      </w:r>
      <w:r>
        <w:rPr>
          <w:rFonts w:ascii="Times New Roman" w:hAnsi="Times New Roman" w:eastAsia="宋体"/>
          <w:sz w:val="21"/>
          <w:szCs w:val="21"/>
        </w:rPr>
        <w:fldChar w:fldCharType="end"/>
      </w:r>
      <w:bookmarkStart w:id="75" w:name="_Toc23098"/>
      <w:r>
        <w:rPr>
          <w:rFonts w:ascii="Times New Roman" w:hAnsi="Times New Roman" w:eastAsia="宋体"/>
          <w:sz w:val="21"/>
          <w:szCs w:val="21"/>
        </w:rPr>
        <w:t xml:space="preserve"> </w:t>
      </w:r>
      <w:r>
        <w:rPr>
          <w:rFonts w:ascii="Times New Roman" w:hAnsi="Times New Roman" w:eastAsia="宋体"/>
          <w:color w:val="000000"/>
          <w:sz w:val="21"/>
          <w:szCs w:val="21"/>
        </w:rPr>
        <w:t>数据库构建流程图</w:t>
      </w:r>
      <w:bookmarkEnd w:id="75"/>
    </w:p>
    <w:p>
      <w:pPr>
        <w:pStyle w:val="5"/>
        <w:jc w:val="center"/>
        <w:rPr>
          <w:rFonts w:ascii="Times New Roman" w:hAnsi="Times New Roman"/>
          <w:color w:val="000000"/>
          <w:sz w:val="21"/>
          <w:szCs w:val="21"/>
        </w:rPr>
      </w:pPr>
    </w:p>
    <w:p>
      <w:pPr>
        <w:pStyle w:val="4"/>
        <w:rPr>
          <w:rStyle w:val="20"/>
          <w:szCs w:val="32"/>
        </w:rPr>
      </w:pPr>
      <w:bookmarkStart w:id="76" w:name="_Toc10720"/>
      <w:r>
        <w:rPr>
          <w:rStyle w:val="20"/>
          <w:szCs w:val="32"/>
        </w:rPr>
        <w:t>2.2.1 计算数据库介绍</w:t>
      </w:r>
      <w:bookmarkEnd w:id="76"/>
    </w:p>
    <w:p>
      <w:pPr>
        <w:spacing w:line="360" w:lineRule="auto"/>
        <w:ind w:firstLine="480" w:firstLineChars="200"/>
        <w:rPr>
          <w:bCs/>
          <w:sz w:val="24"/>
          <w:szCs w:val="24"/>
        </w:rPr>
      </w:pPr>
      <w:r>
        <w:rPr>
          <w:rFonts w:hint="eastAsia"/>
          <w:bCs/>
          <w:sz w:val="24"/>
          <w:szCs w:val="24"/>
        </w:rPr>
        <w:t>上节研究了改性TiVCO</w:t>
      </w:r>
      <w:r>
        <w:rPr>
          <w:rFonts w:hint="eastAsia"/>
          <w:bCs/>
          <w:sz w:val="24"/>
          <w:szCs w:val="24"/>
          <w:vertAlign w:val="subscript"/>
        </w:rPr>
        <w:t>2</w:t>
      </w:r>
      <w:r>
        <w:rPr>
          <w:rFonts w:hint="eastAsia"/>
          <w:bCs/>
          <w:sz w:val="24"/>
          <w:szCs w:val="24"/>
        </w:rPr>
        <w:t>对HER反应活性的影响，我们引入26种过渡金属原子和3种B，N，P非金属原子对其进行改性研究，以氢吸附自由能为标准，计算了78种材料的催化活性。基于对改性TiVCO</w:t>
      </w:r>
      <w:r>
        <w:rPr>
          <w:rFonts w:hint="eastAsia"/>
          <w:bCs/>
          <w:sz w:val="24"/>
          <w:szCs w:val="24"/>
          <w:vertAlign w:val="subscript"/>
        </w:rPr>
        <w:t>2</w:t>
      </w:r>
      <w:r>
        <w:rPr>
          <w:rFonts w:hint="eastAsia"/>
          <w:bCs/>
          <w:sz w:val="24"/>
          <w:szCs w:val="24"/>
        </w:rPr>
        <w:t>催化HER反应的研究，我们建立了相关计算数据库，主要包括催化剂结构信息、电子结构信息和元素特有信息共23种。以TM-B-TiVCO</w:t>
      </w:r>
      <w:r>
        <w:rPr>
          <w:rFonts w:hint="eastAsia"/>
          <w:bCs/>
          <w:sz w:val="24"/>
          <w:szCs w:val="24"/>
          <w:vertAlign w:val="subscript"/>
        </w:rPr>
        <w:t>2</w:t>
      </w:r>
      <w:r>
        <w:rPr>
          <w:rFonts w:hint="eastAsia"/>
          <w:bCs/>
          <w:sz w:val="24"/>
          <w:szCs w:val="24"/>
        </w:rPr>
        <w:t>为例，我们对</w:t>
      </w:r>
      <w:bookmarkStart w:id="77" w:name="OLE_LINK41"/>
      <w:r>
        <w:rPr>
          <w:rFonts w:hint="eastAsia"/>
          <w:bCs/>
          <w:sz w:val="24"/>
          <w:szCs w:val="24"/>
        </w:rPr>
        <w:t>部分计算数据库</w:t>
      </w:r>
      <w:bookmarkEnd w:id="77"/>
      <w:r>
        <w:rPr>
          <w:rFonts w:hint="eastAsia"/>
          <w:bCs/>
          <w:sz w:val="24"/>
          <w:szCs w:val="24"/>
        </w:rPr>
        <w:t>进行展示（图10）：催化剂结构信息主要为键长等信息；电子结构信息包括p带和d带中心、Bader电荷转移数、费米能级等信息；原子结构特征信息包括元素价电子数n、第一电离能E</w:t>
      </w:r>
      <w:r>
        <w:rPr>
          <w:rFonts w:hint="eastAsia"/>
          <w:bCs/>
          <w:sz w:val="24"/>
          <w:szCs w:val="24"/>
          <w:vertAlign w:val="subscript"/>
        </w:rPr>
        <w:t>i</w:t>
      </w:r>
      <w:r>
        <w:rPr>
          <w:rFonts w:hint="eastAsia"/>
          <w:bCs/>
          <w:sz w:val="24"/>
          <w:szCs w:val="24"/>
        </w:rPr>
        <w:t>、电子亲合能E</w:t>
      </w:r>
      <w:r>
        <w:rPr>
          <w:rFonts w:hint="eastAsia"/>
          <w:bCs/>
          <w:sz w:val="24"/>
          <w:szCs w:val="24"/>
          <w:vertAlign w:val="subscript"/>
        </w:rPr>
        <w:t>A</w:t>
      </w:r>
      <w:r>
        <w:rPr>
          <w:rFonts w:hint="eastAsia"/>
          <w:bCs/>
          <w:sz w:val="24"/>
          <w:szCs w:val="24"/>
        </w:rPr>
        <w:t>、电负性</w:t>
      </w:r>
      <w:r>
        <w:rPr>
          <w:bCs/>
          <w:sz w:val="24"/>
          <w:szCs w:val="24"/>
        </w:rPr>
        <w:t>Χ</w:t>
      </w:r>
      <w:r>
        <w:rPr>
          <w:rFonts w:hint="eastAsia"/>
          <w:bCs/>
          <w:sz w:val="24"/>
          <w:szCs w:val="24"/>
        </w:rPr>
        <w:t>、原子半径r、原子序数N等信息。后续随着计算体系的不断扩展，计算数据库包含的种类和催化剂类型将随之增加，根据计算体系不断充实计算数据库。</w:t>
      </w:r>
    </w:p>
    <w:p>
      <w:pPr>
        <w:jc w:val="center"/>
        <w:rPr>
          <w:bCs/>
          <w:sz w:val="24"/>
          <w:szCs w:val="24"/>
        </w:rPr>
      </w:pPr>
      <w:r>
        <w:rPr>
          <w:rFonts w:hint="eastAsia"/>
          <w:bCs/>
          <w:sz w:val="24"/>
          <w:szCs w:val="24"/>
        </w:rPr>
        <w:drawing>
          <wp:inline distT="0" distB="0" distL="114300" distR="114300">
            <wp:extent cx="5260340" cy="2367280"/>
            <wp:effectExtent l="9525" t="9525" r="26035" b="23495"/>
            <wp:docPr id="11" name="图片 11" descr="7d8053979a9158919c6559be6e5a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d8053979a9158919c6559be6e5abac"/>
                    <pic:cNvPicPr>
                      <a:picLocks noChangeAspect="1"/>
                    </pic:cNvPicPr>
                  </pic:nvPicPr>
                  <pic:blipFill>
                    <a:blip r:embed="rId15"/>
                    <a:stretch>
                      <a:fillRect/>
                    </a:stretch>
                  </pic:blipFill>
                  <pic:spPr>
                    <a:xfrm>
                      <a:off x="0" y="0"/>
                      <a:ext cx="5260340" cy="2367280"/>
                    </a:xfrm>
                    <a:prstGeom prst="rect">
                      <a:avLst/>
                    </a:prstGeom>
                    <a:ln>
                      <a:solidFill>
                        <a:schemeClr val="tx1"/>
                      </a:solidFill>
                    </a:ln>
                  </pic:spPr>
                </pic:pic>
              </a:graphicData>
            </a:graphic>
          </wp:inline>
        </w:drawing>
      </w:r>
    </w:p>
    <w:p>
      <w:pPr>
        <w:pStyle w:val="5"/>
        <w:jc w:val="center"/>
        <w:rPr>
          <w:rFonts w:hint="eastAsia" w:ascii="Times New Roman" w:hAnsi="Times New Roman" w:eastAsia="宋体"/>
          <w:color w:val="000000"/>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10</w:t>
      </w:r>
      <w:r>
        <w:rPr>
          <w:rFonts w:ascii="Times New Roman" w:hAnsi="Times New Roman" w:eastAsia="宋体"/>
          <w:sz w:val="21"/>
          <w:szCs w:val="21"/>
        </w:rPr>
        <w:fldChar w:fldCharType="end"/>
      </w:r>
      <w:bookmarkStart w:id="78" w:name="_Toc28603"/>
      <w:r>
        <w:rPr>
          <w:rFonts w:ascii="Times New Roman" w:hAnsi="Times New Roman" w:eastAsia="宋体"/>
          <w:sz w:val="21"/>
          <w:szCs w:val="21"/>
        </w:rPr>
        <w:t xml:space="preserve"> </w:t>
      </w:r>
      <w:r>
        <w:rPr>
          <w:rFonts w:ascii="Times New Roman" w:hAnsi="Times New Roman" w:eastAsia="宋体"/>
          <w:color w:val="000000"/>
          <w:sz w:val="21"/>
          <w:szCs w:val="21"/>
        </w:rPr>
        <w:t>部分计算数据库</w:t>
      </w:r>
      <w:r>
        <w:rPr>
          <w:rFonts w:hint="eastAsia" w:ascii="Times New Roman" w:hAnsi="Times New Roman" w:eastAsia="宋体"/>
          <w:color w:val="000000"/>
          <w:sz w:val="21"/>
          <w:szCs w:val="21"/>
        </w:rPr>
        <w:t>展示</w:t>
      </w:r>
      <w:bookmarkEnd w:id="78"/>
    </w:p>
    <w:p/>
    <w:p>
      <w:pPr>
        <w:pStyle w:val="4"/>
        <w:rPr>
          <w:rStyle w:val="20"/>
          <w:szCs w:val="32"/>
        </w:rPr>
      </w:pPr>
      <w:bookmarkStart w:id="79" w:name="_Toc8307"/>
      <w:r>
        <w:rPr>
          <w:rStyle w:val="20"/>
          <w:szCs w:val="32"/>
        </w:rPr>
        <w:t>2.2.</w:t>
      </w:r>
      <w:r>
        <w:rPr>
          <w:rStyle w:val="20"/>
          <w:rFonts w:hint="eastAsia"/>
          <w:szCs w:val="32"/>
        </w:rPr>
        <w:t>2</w:t>
      </w:r>
      <w:r>
        <w:rPr>
          <w:rStyle w:val="20"/>
          <w:szCs w:val="32"/>
        </w:rPr>
        <w:t xml:space="preserve"> 文献库介绍</w:t>
      </w:r>
      <w:bookmarkEnd w:id="79"/>
    </w:p>
    <w:p>
      <w:pPr>
        <w:rPr>
          <w:sz w:val="24"/>
          <w:szCs w:val="24"/>
        </w:rPr>
      </w:pPr>
      <w:r>
        <w:rPr>
          <w:sz w:val="24"/>
          <w:szCs w:val="24"/>
        </w:rPr>
        <w:t>（1）文献采集</w:t>
      </w:r>
    </w:p>
    <w:p>
      <w:pPr>
        <w:spacing w:line="360" w:lineRule="auto"/>
        <w:ind w:left="105" w:leftChars="50" w:firstLine="360" w:firstLineChars="150"/>
        <w:rPr>
          <w:sz w:val="24"/>
          <w:szCs w:val="24"/>
        </w:rPr>
      </w:pPr>
      <w:r>
        <w:rPr>
          <w:sz w:val="24"/>
          <w:szCs w:val="24"/>
        </w:rPr>
        <w:t>本工作中所构建的文献库中</w:t>
      </w:r>
      <w:r>
        <w:rPr>
          <w:rFonts w:hint="eastAsia"/>
          <w:sz w:val="24"/>
          <w:szCs w:val="24"/>
          <w:lang w:val="en-US" w:eastAsia="zh-CN"/>
        </w:rPr>
        <w:t>的</w:t>
      </w:r>
      <w:r>
        <w:rPr>
          <w:sz w:val="24"/>
          <w:szCs w:val="24"/>
        </w:rPr>
        <w:t>文献主要来源于</w:t>
      </w:r>
      <w:r>
        <w:rPr>
          <w:color w:val="000000"/>
          <w:sz w:val="24"/>
          <w:szCs w:val="24"/>
        </w:rPr>
        <w:t>web of science核心合集数据库</w:t>
      </w:r>
      <w:r>
        <w:rPr>
          <w:sz w:val="24"/>
          <w:szCs w:val="24"/>
        </w:rPr>
        <w:t>，根据本项目的研究方向，确定检索主题为：Hydrogen Evolution Reaction、Oxygen Evolution Reaction、Hydrogen Oxidation Reaction、Oxygen Reduction Reaction，关键词之间用or连接，这四种催化反应类型共检索到318441篇，为保证检索文献均为化学材料方向，因此，以Materials Science进行筛选，最后得到112128篇文献。</w:t>
      </w:r>
    </w:p>
    <w:p>
      <w:pPr>
        <w:spacing w:line="360" w:lineRule="auto"/>
        <w:ind w:left="105" w:leftChars="50" w:firstLine="360" w:firstLineChars="150"/>
        <w:rPr>
          <w:color w:val="000000"/>
          <w:sz w:val="24"/>
          <w:szCs w:val="24"/>
        </w:rPr>
      </w:pPr>
      <w:r>
        <w:rPr>
          <w:sz w:val="24"/>
          <w:szCs w:val="24"/>
        </w:rPr>
        <w:t>将得到的112132篇文献以RIS格式导出，得到所有文献（RIS格式）后，全部导入</w:t>
      </w:r>
      <w:r>
        <w:rPr>
          <w:color w:val="000000"/>
          <w:sz w:val="24"/>
          <w:szCs w:val="24"/>
        </w:rPr>
        <w:t>zotero文献管理软件，然后以CSV文献库形式导出，表格中包含文献基本信息，例如题目、期刊、DOI、摘要、作者等。从web of science核心合集数据库导出的112132篇文献中得到共有</w:t>
      </w:r>
      <w:r>
        <w:rPr>
          <w:rFonts w:hint="eastAsia"/>
          <w:color w:val="000000"/>
          <w:sz w:val="24"/>
          <w:szCs w:val="24"/>
        </w:rPr>
        <w:t>111099</w:t>
      </w:r>
      <w:r>
        <w:rPr>
          <w:color w:val="000000"/>
          <w:sz w:val="24"/>
          <w:szCs w:val="24"/>
        </w:rPr>
        <w:t>条信息。文献库数据以re</w:t>
      </w:r>
      <w:r>
        <w:rPr>
          <w:rFonts w:hint="eastAsia"/>
          <w:color w:val="000000"/>
          <w:sz w:val="24"/>
          <w:szCs w:val="24"/>
        </w:rPr>
        <w:t>000001-re111099进行编码，下图是部分数据展示。</w:t>
      </w:r>
      <w:r>
        <w:rPr>
          <w:color w:val="000000"/>
          <w:sz w:val="24"/>
          <w:szCs w:val="24"/>
        </w:rPr>
        <w:t>（图</w:t>
      </w:r>
      <w:r>
        <w:rPr>
          <w:rFonts w:hint="eastAsia"/>
          <w:color w:val="000000"/>
          <w:sz w:val="24"/>
          <w:szCs w:val="24"/>
        </w:rPr>
        <w:t>11</w:t>
      </w:r>
      <w:r>
        <w:rPr>
          <w:color w:val="000000"/>
          <w:sz w:val="24"/>
          <w:szCs w:val="24"/>
        </w:rPr>
        <w:t>）。</w:t>
      </w:r>
    </w:p>
    <w:p>
      <w:pPr>
        <w:spacing w:line="360" w:lineRule="auto"/>
        <w:jc w:val="center"/>
        <w:rPr>
          <w:color w:val="000000"/>
          <w:sz w:val="24"/>
          <w:szCs w:val="24"/>
        </w:rPr>
      </w:pPr>
      <w:r>
        <w:rPr>
          <w:rFonts w:hint="eastAsia"/>
          <w:color w:val="000000"/>
          <w:sz w:val="24"/>
          <w:szCs w:val="24"/>
        </w:rPr>
        <w:drawing>
          <wp:inline distT="0" distB="0" distL="114300" distR="114300">
            <wp:extent cx="5265420" cy="2630170"/>
            <wp:effectExtent l="9525" t="9525" r="20955" b="27305"/>
            <wp:docPr id="9" name="图片 9" descr="55c1a6aedcb6eb15fe210b805e6b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5c1a6aedcb6eb15fe210b805e6bc32"/>
                    <pic:cNvPicPr>
                      <a:picLocks noChangeAspect="1"/>
                    </pic:cNvPicPr>
                  </pic:nvPicPr>
                  <pic:blipFill>
                    <a:blip r:embed="rId16"/>
                    <a:stretch>
                      <a:fillRect/>
                    </a:stretch>
                  </pic:blipFill>
                  <pic:spPr>
                    <a:xfrm>
                      <a:off x="0" y="0"/>
                      <a:ext cx="5265420" cy="2630170"/>
                    </a:xfrm>
                    <a:prstGeom prst="rect">
                      <a:avLst/>
                    </a:prstGeom>
                    <a:ln>
                      <a:solidFill>
                        <a:schemeClr val="tx1"/>
                      </a:solidFill>
                    </a:ln>
                  </pic:spPr>
                </pic:pic>
              </a:graphicData>
            </a:graphic>
          </wp:inline>
        </w:drawing>
      </w:r>
    </w:p>
    <w:p>
      <w:pPr>
        <w:pStyle w:val="5"/>
        <w:jc w:val="center"/>
        <w:rPr>
          <w:rFonts w:ascii="Times New Roman" w:hAnsi="Times New Roman" w:eastAsia="宋体"/>
          <w:color w:val="000000"/>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11</w:t>
      </w:r>
      <w:r>
        <w:rPr>
          <w:rFonts w:ascii="Times New Roman" w:hAnsi="Times New Roman" w:eastAsia="宋体"/>
          <w:sz w:val="21"/>
          <w:szCs w:val="21"/>
        </w:rPr>
        <w:fldChar w:fldCharType="end"/>
      </w:r>
      <w:bookmarkStart w:id="80" w:name="_Toc6576"/>
      <w:r>
        <w:rPr>
          <w:rFonts w:ascii="Times New Roman" w:hAnsi="Times New Roman" w:eastAsia="宋体"/>
          <w:sz w:val="21"/>
          <w:szCs w:val="21"/>
        </w:rPr>
        <w:t xml:space="preserve"> </w:t>
      </w:r>
      <w:r>
        <w:rPr>
          <w:rFonts w:ascii="Times New Roman" w:hAnsi="Times New Roman" w:eastAsia="宋体"/>
          <w:color w:val="000000"/>
          <w:sz w:val="21"/>
          <w:szCs w:val="21"/>
        </w:rPr>
        <w:t>文献库数据展示</w:t>
      </w:r>
      <w:bookmarkEnd w:id="80"/>
    </w:p>
    <w:p/>
    <w:p>
      <w:pPr>
        <w:rPr>
          <w:sz w:val="24"/>
          <w:szCs w:val="24"/>
        </w:rPr>
      </w:pPr>
      <w:bookmarkStart w:id="81" w:name="_Toc130384880"/>
      <w:r>
        <w:rPr>
          <w:sz w:val="24"/>
          <w:szCs w:val="24"/>
        </w:rPr>
        <w:t>（2）文献处理</w:t>
      </w:r>
      <w:bookmarkEnd w:id="81"/>
    </w:p>
    <w:p>
      <w:pPr>
        <w:spacing w:line="360" w:lineRule="auto"/>
        <w:ind w:firstLine="480" w:firstLineChars="200"/>
        <w:rPr>
          <w:color w:val="000000"/>
          <w:sz w:val="24"/>
          <w:szCs w:val="24"/>
        </w:rPr>
      </w:pPr>
      <w:r>
        <w:rPr>
          <w:color w:val="000000"/>
          <w:sz w:val="24"/>
          <w:szCs w:val="24"/>
        </w:rPr>
        <w:t>该流程的第二步是对文献进行处理，下载所有文献的PDF格式。</w:t>
      </w:r>
      <w:r>
        <w:rPr>
          <w:rFonts w:hint="eastAsia"/>
          <w:color w:val="000000"/>
          <w:sz w:val="24"/>
          <w:szCs w:val="24"/>
        </w:rPr>
        <w:t>采用</w:t>
      </w:r>
      <w:r>
        <w:rPr>
          <w:color w:val="000000"/>
          <w:sz w:val="24"/>
          <w:szCs w:val="24"/>
        </w:rPr>
        <w:t>python代码下载，分为以下几步：</w:t>
      </w:r>
      <w:r>
        <w:rPr>
          <w:color w:val="000000"/>
          <w:sz w:val="24"/>
          <w:szCs w:val="24"/>
          <w:highlight w:val="none"/>
        </w:rPr>
        <w:t>（a）</w:t>
      </w:r>
      <w:r>
        <w:rPr>
          <w:color w:val="000000"/>
          <w:sz w:val="24"/>
          <w:szCs w:val="24"/>
        </w:rPr>
        <w:t>在导出的CSV表格中提取DOI列到txt文本中；（</w:t>
      </w:r>
      <w:r>
        <w:rPr>
          <w:rFonts w:hint="eastAsia"/>
          <w:color w:val="000000"/>
          <w:sz w:val="24"/>
          <w:szCs w:val="24"/>
          <w:lang w:val="en-US" w:eastAsia="zh-CN"/>
        </w:rPr>
        <w:t>b</w:t>
      </w:r>
      <w:r>
        <w:rPr>
          <w:color w:val="000000"/>
          <w:sz w:val="24"/>
          <w:szCs w:val="24"/>
        </w:rPr>
        <w:t>）从提供的txt文本中读取DOI列表；（</w:t>
      </w:r>
      <w:r>
        <w:rPr>
          <w:rFonts w:hint="eastAsia"/>
          <w:color w:val="000000"/>
          <w:sz w:val="24"/>
          <w:szCs w:val="24"/>
          <w:lang w:val="en-US" w:eastAsia="zh-CN"/>
        </w:rPr>
        <w:t>c</w:t>
      </w:r>
      <w:r>
        <w:rPr>
          <w:color w:val="000000"/>
          <w:sz w:val="24"/>
          <w:szCs w:val="24"/>
        </w:rPr>
        <w:t>）逐个DOI访问免费网站下载PDF；（</w:t>
      </w:r>
      <w:r>
        <w:rPr>
          <w:rFonts w:hint="eastAsia"/>
          <w:color w:val="000000"/>
          <w:sz w:val="24"/>
          <w:szCs w:val="24"/>
          <w:lang w:val="en-US" w:eastAsia="zh-CN"/>
        </w:rPr>
        <w:t>d</w:t>
      </w:r>
      <w:r>
        <w:rPr>
          <w:color w:val="000000"/>
          <w:sz w:val="24"/>
          <w:szCs w:val="24"/>
        </w:rPr>
        <w:t>）将成功下载的PDF保存到一个文件夹；（</w:t>
      </w:r>
      <w:r>
        <w:rPr>
          <w:rFonts w:hint="eastAsia"/>
          <w:color w:val="000000"/>
          <w:sz w:val="24"/>
          <w:szCs w:val="24"/>
          <w:lang w:val="en-US" w:eastAsia="zh-CN"/>
        </w:rPr>
        <w:t>e</w:t>
      </w:r>
      <w:r>
        <w:rPr>
          <w:color w:val="000000"/>
          <w:sz w:val="24"/>
          <w:szCs w:val="24"/>
        </w:rPr>
        <w:t>）将下载失败的DOI保存到一个名为“failed”的txt文本文件中。对于下载失败的文献，在zotero文献管理软件中下载或者人工去进行下载（图</w:t>
      </w:r>
      <w:r>
        <w:rPr>
          <w:rFonts w:hint="eastAsia"/>
          <w:color w:val="000000"/>
          <w:sz w:val="24"/>
          <w:szCs w:val="24"/>
        </w:rPr>
        <w:t>12</w:t>
      </w:r>
      <w:r>
        <w:rPr>
          <w:color w:val="000000"/>
          <w:sz w:val="24"/>
          <w:szCs w:val="24"/>
        </w:rPr>
        <w:t>）。</w:t>
      </w:r>
    </w:p>
    <w:p>
      <w:pPr>
        <w:spacing w:line="360" w:lineRule="auto"/>
        <w:ind w:firstLine="480" w:firstLineChars="200"/>
        <w:rPr>
          <w:color w:val="000000"/>
          <w:sz w:val="24"/>
          <w:szCs w:val="24"/>
        </w:rPr>
      </w:pPr>
      <w:r>
        <w:rPr>
          <w:color w:val="000000"/>
          <w:sz w:val="24"/>
          <w:szCs w:val="24"/>
        </w:rPr>
        <w:t>因文献数量较大，本工作首先将</w:t>
      </w:r>
      <w:r>
        <w:rPr>
          <w:sz w:val="24"/>
          <w:szCs w:val="24"/>
        </w:rPr>
        <w:t>PDF</w:t>
      </w:r>
      <w:r>
        <w:rPr>
          <w:color w:val="000000"/>
          <w:sz w:val="24"/>
          <w:szCs w:val="24"/>
        </w:rPr>
        <w:t>正文下载，后续陆续下载正文所对应的支持信息。</w:t>
      </w:r>
    </w:p>
    <w:p>
      <w:pPr>
        <w:spacing w:line="360" w:lineRule="auto"/>
        <w:ind w:firstLine="480" w:firstLineChars="200"/>
        <w:rPr>
          <w:color w:val="000000"/>
          <w:sz w:val="24"/>
          <w:szCs w:val="24"/>
        </w:rPr>
      </w:pPr>
    </w:p>
    <w:p>
      <w:pPr>
        <w:spacing w:line="360" w:lineRule="auto"/>
        <w:jc w:val="center"/>
        <w:rPr>
          <w:color w:val="000000"/>
          <w:sz w:val="24"/>
          <w:szCs w:val="24"/>
        </w:rPr>
      </w:pPr>
      <w:r>
        <w:rPr>
          <w:color w:val="000000"/>
          <w:sz w:val="24"/>
          <w:szCs w:val="24"/>
        </w:rPr>
        <w:drawing>
          <wp:inline distT="0" distB="0" distL="0" distR="0">
            <wp:extent cx="4939665" cy="2257425"/>
            <wp:effectExtent l="0" t="0" r="133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947872" cy="2261143"/>
                    </a:xfrm>
                    <a:prstGeom prst="rect">
                      <a:avLst/>
                    </a:prstGeom>
                    <a:noFill/>
                  </pic:spPr>
                </pic:pic>
              </a:graphicData>
            </a:graphic>
          </wp:inline>
        </w:drawing>
      </w:r>
    </w:p>
    <w:p>
      <w:pPr>
        <w:pStyle w:val="5"/>
        <w:jc w:val="center"/>
        <w:rPr>
          <w:rFonts w:ascii="Times New Roman" w:hAnsi="Times New Roman" w:eastAsia="宋体"/>
          <w:color w:val="000000"/>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12</w:t>
      </w:r>
      <w:r>
        <w:rPr>
          <w:rFonts w:ascii="Times New Roman" w:hAnsi="Times New Roman" w:eastAsia="宋体"/>
          <w:sz w:val="21"/>
          <w:szCs w:val="21"/>
        </w:rPr>
        <w:fldChar w:fldCharType="end"/>
      </w:r>
      <w:bookmarkStart w:id="82" w:name="_Toc25483"/>
      <w:r>
        <w:rPr>
          <w:rFonts w:ascii="Times New Roman" w:hAnsi="Times New Roman" w:eastAsia="宋体"/>
          <w:sz w:val="21"/>
          <w:szCs w:val="21"/>
        </w:rPr>
        <w:t xml:space="preserve"> </w:t>
      </w:r>
      <w:r>
        <w:rPr>
          <w:rFonts w:ascii="Times New Roman" w:hAnsi="Times New Roman" w:eastAsia="宋体"/>
          <w:color w:val="000000"/>
          <w:sz w:val="21"/>
          <w:szCs w:val="21"/>
        </w:rPr>
        <w:t>文献PDF下载流程</w:t>
      </w:r>
      <w:bookmarkEnd w:id="82"/>
    </w:p>
    <w:p>
      <w:pPr>
        <w:spacing w:line="360" w:lineRule="auto"/>
        <w:jc w:val="center"/>
        <w:rPr>
          <w:color w:val="000000"/>
          <w:sz w:val="24"/>
          <w:szCs w:val="24"/>
        </w:rPr>
      </w:pPr>
    </w:p>
    <w:p>
      <w:pPr>
        <w:pStyle w:val="4"/>
      </w:pPr>
      <w:bookmarkStart w:id="83" w:name="_Toc31110"/>
      <w:r>
        <w:t>2.2.</w:t>
      </w:r>
      <w:r>
        <w:rPr>
          <w:rFonts w:hint="eastAsia"/>
        </w:rPr>
        <w:t xml:space="preserve">3 </w:t>
      </w:r>
      <w:r>
        <w:rPr>
          <w:szCs w:val="24"/>
        </w:rPr>
        <w:t>材料数据</w:t>
      </w:r>
      <w:r>
        <w:t>库介绍</w:t>
      </w:r>
      <w:bookmarkEnd w:id="83"/>
    </w:p>
    <w:p>
      <w:pPr>
        <w:rPr>
          <w:b/>
          <w:bCs/>
          <w:sz w:val="24"/>
          <w:szCs w:val="24"/>
        </w:rPr>
      </w:pPr>
      <w:r>
        <w:rPr>
          <w:b/>
          <w:bCs/>
          <w:sz w:val="24"/>
          <w:szCs w:val="24"/>
        </w:rPr>
        <w:t>（1）数据提取</w:t>
      </w:r>
    </w:p>
    <w:p>
      <w:pPr>
        <w:spacing w:line="360" w:lineRule="auto"/>
        <w:ind w:firstLine="480" w:firstLineChars="200"/>
        <w:rPr>
          <w:sz w:val="24"/>
          <w:szCs w:val="24"/>
        </w:rPr>
      </w:pPr>
      <w:r>
        <w:rPr>
          <w:sz w:val="24"/>
          <w:szCs w:val="24"/>
        </w:rPr>
        <w:t>一般来说，对材料的描述大多会在摘要中存在。数据库的第一步是将摘要中的材料名字提取。因文献数量较大，将所有的进行编号，而提取的材料名字也和文献编号对应。</w:t>
      </w:r>
    </w:p>
    <w:p>
      <w:pPr>
        <w:spacing w:line="360" w:lineRule="auto"/>
        <w:ind w:firstLine="480" w:firstLineChars="200"/>
        <w:rPr>
          <w:sz w:val="24"/>
          <w:szCs w:val="24"/>
        </w:rPr>
      </w:pPr>
      <w:bookmarkStart w:id="84" w:name="OLE_LINK88"/>
      <w:r>
        <w:rPr>
          <w:sz w:val="24"/>
          <w:szCs w:val="24"/>
        </w:rPr>
        <w:t>流程的第一步是通过关键词在文献中找到所对应的数据。根据对理论、实验文献的阅读了解，对催化剂进行分类，主要分为单原子、双原子、合金、过渡金属二硫化物、过渡金属氧化物、异质结、非金属、Mxene材料等。为了避免数据整理混乱，本工作目前将数据分为量化理论数据、实验数据、量化理论</w:t>
      </w:r>
      <w:bookmarkStart w:id="85" w:name="OLE_LINK25"/>
      <w:r>
        <w:rPr>
          <w:sz w:val="24"/>
          <w:szCs w:val="24"/>
        </w:rPr>
        <w:t>和实验共有</w:t>
      </w:r>
      <w:bookmarkEnd w:id="85"/>
      <w:r>
        <w:rPr>
          <w:sz w:val="24"/>
          <w:szCs w:val="24"/>
        </w:rPr>
        <w:t>数据三类，基于以上分类，实验数据包含：周转频率TOF、金属原子负载量wt%、质量活性A/mgPt、比活性mA/cm</w:t>
      </w:r>
      <w:r>
        <w:rPr>
          <w:sz w:val="24"/>
          <w:szCs w:val="24"/>
          <w:vertAlign w:val="superscript"/>
        </w:rPr>
        <w:t>2</w:t>
      </w:r>
      <w:r>
        <w:rPr>
          <w:sz w:val="24"/>
          <w:szCs w:val="24"/>
        </w:rPr>
        <w:t>、形貌、电化学活性表面积ECSA cm</w:t>
      </w:r>
      <w:r>
        <w:rPr>
          <w:sz w:val="24"/>
          <w:szCs w:val="24"/>
          <w:vertAlign w:val="superscript"/>
        </w:rPr>
        <w:t>2</w:t>
      </w:r>
      <w:r>
        <w:rPr>
          <w:sz w:val="24"/>
          <w:szCs w:val="24"/>
        </w:rPr>
        <w:t>、循环次数/稳定性、导电性、表面积、孔体积等；量化理论数据包含：</w:t>
      </w:r>
      <w:r>
        <w:rPr>
          <w:rFonts w:hint="eastAsia"/>
          <w:sz w:val="24"/>
          <w:szCs w:val="24"/>
        </w:rPr>
        <w:t>吸附能、</w:t>
      </w:r>
      <w:r>
        <w:rPr>
          <w:sz w:val="24"/>
          <w:szCs w:val="24"/>
        </w:rPr>
        <w:t>热力学（</w:t>
      </w:r>
      <w:r>
        <w:rPr>
          <w:rFonts w:hint="eastAsia"/>
          <w:sz w:val="24"/>
          <w:szCs w:val="24"/>
        </w:rPr>
        <w:t>反应能垒eV</w:t>
      </w:r>
      <w:r>
        <w:rPr>
          <w:sz w:val="24"/>
          <w:szCs w:val="24"/>
        </w:rPr>
        <w:t>）</w:t>
      </w:r>
      <w:r>
        <w:rPr>
          <w:rFonts w:hint="eastAsia"/>
          <w:sz w:val="24"/>
          <w:szCs w:val="24"/>
        </w:rPr>
        <w:t>、</w:t>
      </w:r>
      <w:r>
        <w:rPr>
          <w:sz w:val="24"/>
          <w:szCs w:val="24"/>
        </w:rPr>
        <w:t>费米能级、带隙、电荷差、电荷转移能等；量化理论和实验共有数据包含：原子性能参数（</w:t>
      </w:r>
      <w:r>
        <w:rPr>
          <w:rFonts w:hint="eastAsia"/>
          <w:sz w:val="24"/>
          <w:szCs w:val="24"/>
        </w:rPr>
        <w:t>电离能、电负性、电子亲和能、最外层电子数、原子序数</w:t>
      </w:r>
      <w:r>
        <w:rPr>
          <w:sz w:val="24"/>
          <w:szCs w:val="24"/>
        </w:rPr>
        <w:t>）</w:t>
      </w:r>
      <w:r>
        <w:rPr>
          <w:rFonts w:hint="eastAsia"/>
          <w:sz w:val="24"/>
          <w:szCs w:val="24"/>
        </w:rPr>
        <w:t>、</w:t>
      </w:r>
      <w:r>
        <w:rPr>
          <w:sz w:val="24"/>
          <w:szCs w:val="24"/>
        </w:rPr>
        <w:t>结构参数（晶格常数a、晶格常数b、旋转角度、键长、配位数等）</w:t>
      </w:r>
      <w:r>
        <w:rPr>
          <w:rFonts w:hint="eastAsia"/>
          <w:sz w:val="24"/>
          <w:szCs w:val="24"/>
        </w:rPr>
        <w:t>、</w:t>
      </w:r>
      <w:r>
        <w:rPr>
          <w:sz w:val="24"/>
          <w:szCs w:val="24"/>
        </w:rPr>
        <w:t>表面性质（活性位点等）</w:t>
      </w:r>
      <w:r>
        <w:rPr>
          <w:rFonts w:hint="eastAsia"/>
          <w:sz w:val="24"/>
          <w:szCs w:val="24"/>
        </w:rPr>
        <w:t>、</w:t>
      </w:r>
      <w:r>
        <w:rPr>
          <w:sz w:val="24"/>
          <w:szCs w:val="24"/>
        </w:rPr>
        <w:t>性能参数（电流密度mA/cm</w:t>
      </w:r>
      <w:r>
        <w:rPr>
          <w:sz w:val="24"/>
          <w:szCs w:val="24"/>
          <w:vertAlign w:val="superscript"/>
        </w:rPr>
        <w:t>2</w:t>
      </w:r>
      <w:r>
        <w:rPr>
          <w:sz w:val="24"/>
          <w:szCs w:val="24"/>
        </w:rPr>
        <w:t>、速率常数、活化能KJ/mol、起始电位（V）、过电势（V）、交换电流密度等（图</w:t>
      </w:r>
      <w:r>
        <w:rPr>
          <w:rFonts w:hint="eastAsia"/>
          <w:sz w:val="24"/>
          <w:szCs w:val="24"/>
        </w:rPr>
        <w:t>13</w:t>
      </w:r>
      <w:r>
        <w:rPr>
          <w:sz w:val="24"/>
          <w:szCs w:val="24"/>
        </w:rPr>
        <w:t>）。</w:t>
      </w:r>
    </w:p>
    <w:p>
      <w:pPr>
        <w:spacing w:line="360" w:lineRule="auto"/>
        <w:rPr>
          <w:sz w:val="24"/>
          <w:szCs w:val="24"/>
        </w:rPr>
      </w:pPr>
      <w:r>
        <w:drawing>
          <wp:inline distT="0" distB="0" distL="0" distR="0">
            <wp:extent cx="5274310" cy="4615180"/>
            <wp:effectExtent l="9525" t="9525" r="12065"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4615783"/>
                    </a:xfrm>
                    <a:prstGeom prst="rect">
                      <a:avLst/>
                    </a:prstGeom>
                    <a:noFill/>
                    <a:ln>
                      <a:solidFill>
                        <a:schemeClr val="tx1"/>
                      </a:solidFill>
                    </a:ln>
                  </pic:spPr>
                </pic:pic>
              </a:graphicData>
            </a:graphic>
          </wp:inline>
        </w:drawing>
      </w:r>
    </w:p>
    <w:p>
      <w:pPr>
        <w:pStyle w:val="5"/>
        <w:jc w:val="center"/>
        <w:rPr>
          <w:rFonts w:ascii="Times New Roman" w:hAnsi="Times New Roman" w:eastAsia="宋体"/>
          <w:color w:val="000000"/>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13</w:t>
      </w:r>
      <w:r>
        <w:rPr>
          <w:rFonts w:ascii="Times New Roman" w:hAnsi="Times New Roman" w:eastAsia="宋体"/>
          <w:sz w:val="21"/>
          <w:szCs w:val="21"/>
        </w:rPr>
        <w:fldChar w:fldCharType="end"/>
      </w:r>
      <w:bookmarkStart w:id="86" w:name="_Toc5897"/>
      <w:r>
        <w:rPr>
          <w:rFonts w:ascii="Times New Roman" w:hAnsi="Times New Roman" w:eastAsia="宋体"/>
          <w:sz w:val="21"/>
          <w:szCs w:val="21"/>
        </w:rPr>
        <w:t xml:space="preserve"> 材料</w:t>
      </w:r>
      <w:r>
        <w:rPr>
          <w:rFonts w:ascii="Times New Roman" w:hAnsi="Times New Roman" w:eastAsia="宋体"/>
          <w:color w:val="000000"/>
          <w:sz w:val="21"/>
          <w:szCs w:val="21"/>
        </w:rPr>
        <w:t>数据库关键词分类</w:t>
      </w:r>
      <w:bookmarkEnd w:id="86"/>
    </w:p>
    <w:p/>
    <w:bookmarkEnd w:id="84"/>
    <w:p>
      <w:pPr>
        <w:rPr>
          <w:b/>
          <w:bCs/>
          <w:sz w:val="24"/>
          <w:szCs w:val="24"/>
        </w:rPr>
      </w:pPr>
      <w:r>
        <w:rPr>
          <w:b/>
          <w:bCs/>
          <w:sz w:val="24"/>
          <w:szCs w:val="24"/>
        </w:rPr>
        <w:t>（2）图片提取</w:t>
      </w:r>
    </w:p>
    <w:p>
      <w:pPr>
        <w:spacing w:line="360" w:lineRule="auto"/>
        <w:ind w:firstLine="480" w:firstLineChars="200"/>
        <w:rPr>
          <w:sz w:val="24"/>
          <w:szCs w:val="24"/>
        </w:rPr>
      </w:pPr>
      <w:r>
        <w:rPr>
          <w:sz w:val="24"/>
          <w:szCs w:val="24"/>
        </w:rPr>
        <w:t>第二步是基于PDF文章，通过python编写的代码进行图片提取。</w:t>
      </w:r>
    </w:p>
    <w:p>
      <w:pPr>
        <w:numPr>
          <w:ilvl w:val="0"/>
          <w:numId w:val="3"/>
        </w:numPr>
        <w:spacing w:line="360" w:lineRule="auto"/>
        <w:ind w:firstLine="480" w:firstLineChars="200"/>
        <w:rPr>
          <w:sz w:val="24"/>
          <w:szCs w:val="24"/>
        </w:rPr>
      </w:pPr>
      <w:r>
        <w:rPr>
          <w:sz w:val="24"/>
          <w:szCs w:val="24"/>
        </w:rPr>
        <w:t>提取PDF文件中的图像</w:t>
      </w:r>
    </w:p>
    <w:p>
      <w:pPr>
        <w:spacing w:line="360" w:lineRule="auto"/>
        <w:ind w:firstLine="480" w:firstLineChars="200"/>
        <w:rPr>
          <w:sz w:val="24"/>
          <w:szCs w:val="24"/>
        </w:rPr>
      </w:pPr>
      <w:r>
        <w:rPr>
          <w:sz w:val="24"/>
          <w:szCs w:val="24"/>
        </w:rPr>
        <w:t>加载PDF中的每一页，提取页面中的所有图像，并将其保存为PNG文件。保存时，文件名包含了页数和图像在页中的索引。</w:t>
      </w:r>
    </w:p>
    <w:p>
      <w:pPr>
        <w:numPr>
          <w:ilvl w:val="0"/>
          <w:numId w:val="3"/>
        </w:numPr>
        <w:spacing w:line="360" w:lineRule="auto"/>
        <w:ind w:left="0" w:leftChars="0" w:firstLine="480" w:firstLineChars="200"/>
        <w:rPr>
          <w:sz w:val="24"/>
          <w:szCs w:val="24"/>
        </w:rPr>
      </w:pPr>
      <w:r>
        <w:rPr>
          <w:sz w:val="24"/>
          <w:szCs w:val="24"/>
        </w:rPr>
        <w:t>提取Word文档中的图像</w:t>
      </w:r>
    </w:p>
    <w:p>
      <w:pPr>
        <w:spacing w:line="360" w:lineRule="auto"/>
        <w:ind w:firstLine="480" w:firstLineChars="200"/>
        <w:rPr>
          <w:sz w:val="24"/>
          <w:szCs w:val="24"/>
        </w:rPr>
      </w:pPr>
      <w:r>
        <w:rPr>
          <w:sz w:val="24"/>
          <w:szCs w:val="24"/>
        </w:rPr>
        <w:t>加载Word文档，遍历文档中的所有图像关系。对于每个图像关系，提取图像数据，并将其保存为相应的图像文件。文件扩展名从图像的内容类型中获取。</w:t>
      </w:r>
    </w:p>
    <w:p>
      <w:pPr>
        <w:numPr>
          <w:ilvl w:val="0"/>
          <w:numId w:val="3"/>
        </w:numPr>
        <w:spacing w:line="360" w:lineRule="auto"/>
        <w:ind w:left="0" w:leftChars="0" w:firstLine="480" w:firstLineChars="200"/>
        <w:rPr>
          <w:sz w:val="24"/>
          <w:szCs w:val="24"/>
        </w:rPr>
      </w:pPr>
      <w:r>
        <w:rPr>
          <w:sz w:val="24"/>
          <w:szCs w:val="24"/>
        </w:rPr>
        <w:t>处理指定目录中的所有文件。</w:t>
      </w:r>
    </w:p>
    <w:p>
      <w:pPr>
        <w:spacing w:line="360" w:lineRule="auto"/>
        <w:ind w:firstLine="480" w:firstLineChars="200"/>
        <w:rPr>
          <w:sz w:val="24"/>
          <w:szCs w:val="24"/>
        </w:rPr>
      </w:pPr>
      <w:r>
        <w:rPr>
          <w:sz w:val="24"/>
          <w:szCs w:val="24"/>
        </w:rPr>
        <w:t>遍历目录中的所有文件，并根据文件扩展名来决定如何处理文件。对于PDF和Word文件，会调用相应的图像提取函数来提取图像。</w:t>
      </w:r>
    </w:p>
    <w:p>
      <w:pPr>
        <w:spacing w:line="360" w:lineRule="auto"/>
        <w:ind w:firstLine="480" w:firstLineChars="200"/>
        <w:rPr>
          <w:sz w:val="24"/>
          <w:szCs w:val="24"/>
        </w:rPr>
      </w:pPr>
      <w:r>
        <w:rPr>
          <w:sz w:val="24"/>
          <w:szCs w:val="24"/>
        </w:rPr>
        <w:t>以上步骤可以在指定的目录中批量处理包含PDF和Word文档的文件，并将其中的图像提取并保存到相应的子文件夹中（图</w:t>
      </w:r>
      <w:r>
        <w:rPr>
          <w:rFonts w:hint="eastAsia"/>
          <w:sz w:val="24"/>
          <w:szCs w:val="24"/>
        </w:rPr>
        <w:t>14</w:t>
      </w:r>
      <w:r>
        <w:rPr>
          <w:sz w:val="24"/>
          <w:szCs w:val="24"/>
        </w:rPr>
        <w:t>）。</w:t>
      </w:r>
    </w:p>
    <w:p>
      <w:pPr>
        <w:spacing w:line="360" w:lineRule="auto"/>
        <w:ind w:firstLine="480" w:firstLineChars="200"/>
        <w:rPr>
          <w:sz w:val="24"/>
          <w:szCs w:val="24"/>
        </w:rPr>
      </w:pPr>
    </w:p>
    <w:p>
      <w:pPr>
        <w:spacing w:line="360" w:lineRule="auto"/>
        <w:jc w:val="center"/>
        <w:rPr>
          <w:sz w:val="24"/>
          <w:szCs w:val="24"/>
        </w:rPr>
      </w:pPr>
      <w:r>
        <w:rPr>
          <w:sz w:val="24"/>
          <w:szCs w:val="24"/>
        </w:rPr>
        <w:drawing>
          <wp:inline distT="0" distB="0" distL="0" distR="0">
            <wp:extent cx="4355465" cy="2143125"/>
            <wp:effectExtent l="0" t="0" r="698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355465" cy="2143125"/>
                    </a:xfrm>
                    <a:prstGeom prst="rect">
                      <a:avLst/>
                    </a:prstGeom>
                    <a:noFill/>
                  </pic:spPr>
                </pic:pic>
              </a:graphicData>
            </a:graphic>
          </wp:inline>
        </w:drawing>
      </w:r>
    </w:p>
    <w:p>
      <w:pPr>
        <w:pStyle w:val="5"/>
        <w:jc w:val="center"/>
        <w:rPr>
          <w:rFonts w:ascii="Times New Roman" w:hAnsi="Times New Roman" w:eastAsia="宋体"/>
          <w:color w:val="000000"/>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14</w:t>
      </w:r>
      <w:r>
        <w:rPr>
          <w:rFonts w:ascii="Times New Roman" w:hAnsi="Times New Roman" w:eastAsia="宋体"/>
          <w:sz w:val="21"/>
          <w:szCs w:val="21"/>
        </w:rPr>
        <w:fldChar w:fldCharType="end"/>
      </w:r>
      <w:bookmarkStart w:id="87" w:name="_Toc25640"/>
      <w:r>
        <w:rPr>
          <w:rFonts w:ascii="Times New Roman" w:hAnsi="Times New Roman" w:eastAsia="宋体"/>
          <w:sz w:val="21"/>
          <w:szCs w:val="21"/>
        </w:rPr>
        <w:t xml:space="preserve"> </w:t>
      </w:r>
      <w:r>
        <w:rPr>
          <w:rFonts w:ascii="Times New Roman" w:hAnsi="Times New Roman" w:eastAsia="宋体"/>
          <w:color w:val="000000"/>
          <w:sz w:val="21"/>
          <w:szCs w:val="21"/>
        </w:rPr>
        <w:t>PDF文献提取图片流程</w:t>
      </w:r>
      <w:bookmarkEnd w:id="87"/>
    </w:p>
    <w:p>
      <w:pPr>
        <w:rPr>
          <w:rFonts w:hint="eastAsia"/>
        </w:rPr>
      </w:pPr>
    </w:p>
    <w:p>
      <w:pPr>
        <w:spacing w:line="331" w:lineRule="auto"/>
        <w:ind w:firstLine="480" w:firstLineChars="200"/>
        <w:rPr>
          <w:sz w:val="24"/>
          <w:szCs w:val="24"/>
        </w:rPr>
      </w:pPr>
      <w:bookmarkStart w:id="88" w:name="OLE_LINK40"/>
      <w:r>
        <w:rPr>
          <w:sz w:val="24"/>
          <w:szCs w:val="24"/>
        </w:rPr>
        <w:t>在量子化学数据库</w:t>
      </w:r>
      <w:r>
        <w:rPr>
          <w:rFonts w:hint="eastAsia"/>
          <w:sz w:val="24"/>
          <w:szCs w:val="24"/>
        </w:rPr>
        <w:t>构建</w:t>
      </w:r>
      <w:r>
        <w:rPr>
          <w:sz w:val="24"/>
          <w:szCs w:val="24"/>
        </w:rPr>
        <w:t>方面，</w:t>
      </w:r>
      <w:r>
        <w:rPr>
          <w:rFonts w:hint="eastAsia"/>
          <w:sz w:val="24"/>
          <w:szCs w:val="24"/>
        </w:rPr>
        <w:t>我们</w:t>
      </w:r>
      <w:r>
        <w:rPr>
          <w:sz w:val="24"/>
          <w:szCs w:val="24"/>
        </w:rPr>
        <w:t>分为计算数据库、文献库和</w:t>
      </w:r>
      <w:bookmarkStart w:id="89" w:name="OLE_LINK26"/>
      <w:r>
        <w:rPr>
          <w:sz w:val="24"/>
          <w:szCs w:val="24"/>
        </w:rPr>
        <w:t>材料</w:t>
      </w:r>
      <w:bookmarkEnd w:id="89"/>
      <w:r>
        <w:rPr>
          <w:sz w:val="24"/>
          <w:szCs w:val="24"/>
        </w:rPr>
        <w:t>数据库进行构建。在计算数据库中，</w:t>
      </w:r>
      <w:r>
        <w:rPr>
          <w:rFonts w:hint="eastAsia"/>
          <w:sz w:val="24"/>
          <w:szCs w:val="24"/>
        </w:rPr>
        <w:t>目前</w:t>
      </w:r>
      <w:r>
        <w:rPr>
          <w:sz w:val="24"/>
          <w:szCs w:val="24"/>
        </w:rPr>
        <w:t>我们搭建</w:t>
      </w:r>
      <w:r>
        <w:rPr>
          <w:rFonts w:hint="eastAsia"/>
          <w:sz w:val="24"/>
          <w:szCs w:val="24"/>
        </w:rPr>
        <w:t>78种改性材料，</w:t>
      </w:r>
      <w:r>
        <w:rPr>
          <w:sz w:val="24"/>
          <w:szCs w:val="24"/>
        </w:rPr>
        <w:t>基于对</w:t>
      </w:r>
      <w:r>
        <w:rPr>
          <w:rFonts w:hint="eastAsia"/>
          <w:sz w:val="24"/>
          <w:szCs w:val="24"/>
        </w:rPr>
        <w:t>HER反应研究，最后得到23种数据信息。</w:t>
      </w:r>
      <w:r>
        <w:rPr>
          <w:sz w:val="24"/>
          <w:szCs w:val="24"/>
        </w:rPr>
        <w:t>在文献库中，已初步搭建含1</w:t>
      </w:r>
      <w:r>
        <w:rPr>
          <w:rFonts w:hint="eastAsia"/>
          <w:sz w:val="24"/>
          <w:szCs w:val="24"/>
        </w:rPr>
        <w:t>1万</w:t>
      </w:r>
      <w:r>
        <w:rPr>
          <w:sz w:val="24"/>
          <w:szCs w:val="24"/>
        </w:rPr>
        <w:t>篇左右的文献库，以</w:t>
      </w:r>
      <w:r>
        <w:rPr>
          <w:color w:val="000000"/>
          <w:sz w:val="24"/>
          <w:szCs w:val="24"/>
        </w:rPr>
        <w:t>CSV</w:t>
      </w:r>
      <w:r>
        <w:rPr>
          <w:sz w:val="24"/>
          <w:szCs w:val="24"/>
        </w:rPr>
        <w:t>表格呈现文献中作者、DOI、期刊、摘要等信息，建成1</w:t>
      </w:r>
      <w:r>
        <w:rPr>
          <w:rFonts w:hint="eastAsia"/>
          <w:sz w:val="24"/>
          <w:szCs w:val="24"/>
        </w:rPr>
        <w:t>1万</w:t>
      </w:r>
      <w:r>
        <w:rPr>
          <w:sz w:val="24"/>
          <w:szCs w:val="24"/>
        </w:rPr>
        <w:t>条左右的文献数据库。在材料数据库中，基于文献库所提供的DOI批量下载PDF，将数据分为实验、量化理论、实验和量化理论共有数据三类，接下来主要通过关键词遍历所有文献，最后利用ChatGPT提取PDF中的图片以及材料数据等信息，最后建成包含</w:t>
      </w:r>
      <w:r>
        <w:rPr>
          <w:rFonts w:hint="eastAsia"/>
          <w:sz w:val="24"/>
          <w:szCs w:val="24"/>
        </w:rPr>
        <w:t>10万</w:t>
      </w:r>
      <w:r>
        <w:rPr>
          <w:sz w:val="24"/>
          <w:szCs w:val="24"/>
        </w:rPr>
        <w:t>条左右的材料数据库</w:t>
      </w:r>
      <w:r>
        <w:rPr>
          <w:rFonts w:hint="eastAsia"/>
          <w:sz w:val="24"/>
          <w:szCs w:val="24"/>
        </w:rPr>
        <w:t>（图15）</w:t>
      </w:r>
      <w:r>
        <w:rPr>
          <w:sz w:val="24"/>
          <w:szCs w:val="24"/>
        </w:rPr>
        <w:t>。</w:t>
      </w:r>
      <w:bookmarkEnd w:id="88"/>
    </w:p>
    <w:p>
      <w:pPr>
        <w:spacing w:line="331" w:lineRule="auto"/>
        <w:ind w:firstLine="480" w:firstLineChars="200"/>
        <w:rPr>
          <w:rFonts w:hint="eastAsia"/>
          <w:sz w:val="24"/>
          <w:szCs w:val="24"/>
        </w:rPr>
      </w:pPr>
    </w:p>
    <w:p>
      <w:pPr>
        <w:spacing w:line="331" w:lineRule="auto"/>
        <w:jc w:val="center"/>
        <w:rPr>
          <w:sz w:val="24"/>
          <w:szCs w:val="24"/>
        </w:rPr>
      </w:pPr>
      <w:r>
        <w:rPr>
          <w:rFonts w:hint="eastAsia"/>
          <w:sz w:val="24"/>
          <w:szCs w:val="24"/>
        </w:rPr>
        <w:drawing>
          <wp:inline distT="0" distB="0" distL="114300" distR="114300">
            <wp:extent cx="4959985" cy="2485390"/>
            <wp:effectExtent l="9525" t="9525" r="21590" b="19685"/>
            <wp:docPr id="19" name="图片 19" descr="63d273461ac68555a14ee47c03a5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3d273461ac68555a14ee47c03a5d0a"/>
                    <pic:cNvPicPr>
                      <a:picLocks noChangeAspect="1"/>
                    </pic:cNvPicPr>
                  </pic:nvPicPr>
                  <pic:blipFill>
                    <a:blip r:embed="rId20"/>
                    <a:stretch>
                      <a:fillRect/>
                    </a:stretch>
                  </pic:blipFill>
                  <pic:spPr>
                    <a:xfrm>
                      <a:off x="0" y="0"/>
                      <a:ext cx="4959985" cy="2485390"/>
                    </a:xfrm>
                    <a:prstGeom prst="rect">
                      <a:avLst/>
                    </a:prstGeom>
                    <a:ln>
                      <a:solidFill>
                        <a:schemeClr val="tx1"/>
                      </a:solidFill>
                    </a:ln>
                  </pic:spPr>
                </pic:pic>
              </a:graphicData>
            </a:graphic>
          </wp:inline>
        </w:drawing>
      </w:r>
    </w:p>
    <w:p>
      <w:pPr>
        <w:pStyle w:val="5"/>
        <w:spacing w:line="331" w:lineRule="auto"/>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15</w:t>
      </w:r>
      <w:r>
        <w:rPr>
          <w:rFonts w:ascii="Times New Roman" w:hAnsi="Times New Roman" w:eastAsia="宋体"/>
          <w:sz w:val="21"/>
          <w:szCs w:val="21"/>
        </w:rPr>
        <w:fldChar w:fldCharType="end"/>
      </w:r>
      <w:bookmarkStart w:id="90" w:name="_Toc30133"/>
      <w:r>
        <w:rPr>
          <w:rFonts w:ascii="Times New Roman" w:hAnsi="Times New Roman" w:eastAsia="宋体"/>
          <w:sz w:val="21"/>
          <w:szCs w:val="21"/>
        </w:rPr>
        <w:t xml:space="preserve"> 部分材料数据库展示</w:t>
      </w:r>
      <w:bookmarkEnd w:id="90"/>
    </w:p>
    <w:p>
      <w:r>
        <w:rPr>
          <w:rStyle w:val="20"/>
          <w:rFonts w:ascii="Times New Roman" w:hAnsi="Times New Roman"/>
          <w:szCs w:val="24"/>
        </w:rPr>
        <w:br w:type="page"/>
      </w:r>
      <w:bookmarkStart w:id="91" w:name="_Toc2522"/>
      <w:r>
        <w:rPr>
          <w:rStyle w:val="41"/>
          <w:rFonts w:hint="default" w:ascii="Times New Roman" w:hAnsi="Times New Roman" w:cs="Times New Roman"/>
        </w:rPr>
        <w:t>2.3 机器学习精准设计</w:t>
      </w:r>
      <w:bookmarkEnd w:id="91"/>
      <w:bookmarkStart w:id="106" w:name="_GoBack"/>
      <w:bookmarkEnd w:id="106"/>
    </w:p>
    <w:p>
      <w:pPr>
        <w:spacing w:line="360" w:lineRule="auto"/>
        <w:ind w:firstLine="480" w:firstLineChars="200"/>
        <w:rPr>
          <w:color w:val="000000"/>
          <w:kern w:val="0"/>
          <w:sz w:val="24"/>
          <w:szCs w:val="24"/>
          <w:lang w:bidi="ar"/>
        </w:rPr>
      </w:pPr>
      <w:r>
        <w:rPr>
          <w:color w:val="000000"/>
          <w:kern w:val="0"/>
          <w:sz w:val="24"/>
          <w:szCs w:val="24"/>
          <w:lang w:bidi="ar"/>
        </w:rPr>
        <w:t>目前寻找新型催化剂的困难之一是候选催化剂的数量太大，传统的试错法效率低下且成本高昂，迫切需要一种更合适的方法来加快这一进程。机器学习</w:t>
      </w:r>
      <w:r>
        <w:rPr>
          <w:rFonts w:hint="eastAsia"/>
          <w:color w:val="000000"/>
          <w:kern w:val="0"/>
          <w:sz w:val="24"/>
          <w:szCs w:val="24"/>
          <w:lang w:bidi="ar"/>
        </w:rPr>
        <w:t>（</w:t>
      </w:r>
      <w:r>
        <w:rPr>
          <w:color w:val="000000"/>
          <w:kern w:val="0"/>
          <w:sz w:val="24"/>
          <w:szCs w:val="24"/>
          <w:lang w:bidi="ar"/>
        </w:rPr>
        <w:t>Machine Learning，ML</w:t>
      </w:r>
      <w:r>
        <w:rPr>
          <w:rFonts w:hint="eastAsia"/>
          <w:color w:val="000000"/>
          <w:kern w:val="0"/>
          <w:sz w:val="24"/>
          <w:szCs w:val="24"/>
          <w:lang w:bidi="ar"/>
        </w:rPr>
        <w:t>）</w:t>
      </w:r>
      <w:r>
        <w:rPr>
          <w:color w:val="000000"/>
          <w:kern w:val="0"/>
          <w:sz w:val="24"/>
          <w:szCs w:val="24"/>
          <w:lang w:bidi="ar"/>
        </w:rPr>
        <w:t>可以通过各种算法在合理的时间内准确预测团簇形态、自由能、带隙等特性，耦合DFT高通量计算筛选致力于基于计算数据训练机器学习模型用于预测性能优异的催化剂，成为加速新催化剂设计和筛选的有力工具。高通量计算筛选结合机器学习开始在设计过程中发挥关键作用。在</w:t>
      </w:r>
      <w:r>
        <w:rPr>
          <w:rFonts w:hint="eastAsia"/>
          <w:color w:val="000000"/>
          <w:kern w:val="0"/>
          <w:sz w:val="24"/>
          <w:szCs w:val="24"/>
          <w:lang w:bidi="ar"/>
        </w:rPr>
        <w:t>TiVC MXenes催化HER反应机理研究</w:t>
      </w:r>
      <w:r>
        <w:rPr>
          <w:color w:val="000000"/>
          <w:kern w:val="0"/>
          <w:sz w:val="24"/>
          <w:szCs w:val="24"/>
          <w:lang w:bidi="ar"/>
        </w:rPr>
        <w:t>课题中，我们使用DFT计算耦合机器学习来加速催化剂的智能设计和筛选。</w:t>
      </w:r>
    </w:p>
    <w:p>
      <w:pPr>
        <w:spacing w:line="360" w:lineRule="auto"/>
        <w:ind w:firstLine="480" w:firstLineChars="200"/>
        <w:rPr>
          <w:color w:val="000000"/>
          <w:kern w:val="0"/>
          <w:sz w:val="24"/>
          <w:szCs w:val="24"/>
          <w:lang w:bidi="ar"/>
        </w:rPr>
      </w:pPr>
      <w:r>
        <w:rPr>
          <w:color w:val="000000"/>
          <w:kern w:val="0"/>
          <w:sz w:val="24"/>
          <w:szCs w:val="24"/>
          <w:lang w:bidi="ar"/>
        </w:rPr>
        <w:t>随着大数据时代的到来，数据成为了驱动机器学习模型训练的关键因素之一。人们普遍认为，拥有更多的数据可以提升机器学习模型的性能和泛化能力。然而，数据量对于模型性能的影响并不总是简单的线性关系。</w:t>
      </w:r>
      <w:r>
        <w:rPr>
          <w:rFonts w:hint="eastAsia"/>
          <w:color w:val="000000"/>
          <w:kern w:val="0"/>
          <w:sz w:val="24"/>
          <w:szCs w:val="24"/>
          <w:lang w:bidi="ar"/>
        </w:rPr>
        <w:t>前面建立了材料数据库、计算数据库和文献数据库，虽然目前数量达到了十万条，但预测某种具体材料时</w:t>
      </w:r>
      <w:r>
        <w:rPr>
          <w:rFonts w:hint="eastAsia"/>
          <w:color w:val="000000"/>
          <w:kern w:val="0"/>
          <w:sz w:val="24"/>
          <w:szCs w:val="24"/>
          <w:lang w:val="en-US" w:eastAsia="zh-CN" w:bidi="ar"/>
        </w:rPr>
        <w:t>还</w:t>
      </w:r>
      <w:r>
        <w:rPr>
          <w:rFonts w:hint="eastAsia"/>
          <w:color w:val="000000"/>
          <w:kern w:val="0"/>
          <w:sz w:val="24"/>
          <w:szCs w:val="24"/>
          <w:lang w:bidi="ar"/>
        </w:rPr>
        <w:t>需要进行数据的选取和清洗，以使得数据的质量有所提高，因此利用计算数据库数据特征齐全及计算数据准确的优势，我们将</w:t>
      </w:r>
      <w:r>
        <w:rPr>
          <w:rFonts w:hint="eastAsia"/>
          <w:color w:val="000000"/>
          <w:kern w:val="0"/>
          <w:sz w:val="24"/>
          <w:szCs w:val="24"/>
          <w:lang w:val="en-US" w:eastAsia="zh-CN" w:bidi="ar"/>
        </w:rPr>
        <w:t>从</w:t>
      </w:r>
      <w:r>
        <w:rPr>
          <w:rFonts w:hint="eastAsia"/>
          <w:color w:val="000000"/>
          <w:kern w:val="0"/>
          <w:sz w:val="24"/>
          <w:szCs w:val="24"/>
          <w:lang w:bidi="ar"/>
        </w:rPr>
        <w:t>计算数据库中提取数据作为这次预测新材料性能的初始数据集。</w:t>
      </w:r>
    </w:p>
    <w:p>
      <w:pPr>
        <w:adjustRightInd w:val="0"/>
        <w:snapToGrid w:val="0"/>
        <w:spacing w:line="360" w:lineRule="auto"/>
        <w:ind w:firstLine="480" w:firstLineChars="200"/>
        <w:rPr>
          <w:sz w:val="24"/>
          <w:szCs w:val="24"/>
        </w:rPr>
      </w:pPr>
      <w:bookmarkStart w:id="92" w:name="OLE_LINK47"/>
      <w:r>
        <w:rPr>
          <w:sz w:val="24"/>
          <w:szCs w:val="24"/>
        </w:rPr>
        <w:t>经计算得到了引入非金属原子（B</w:t>
      </w:r>
      <w:r>
        <w:rPr>
          <w:rFonts w:hint="eastAsia"/>
          <w:sz w:val="24"/>
          <w:szCs w:val="24"/>
        </w:rPr>
        <w:t>,</w:t>
      </w:r>
      <w:r>
        <w:rPr>
          <w:sz w:val="24"/>
          <w:szCs w:val="24"/>
        </w:rPr>
        <w:t xml:space="preserve"> N</w:t>
      </w:r>
      <w:r>
        <w:rPr>
          <w:rFonts w:hint="eastAsia"/>
          <w:sz w:val="24"/>
          <w:szCs w:val="24"/>
        </w:rPr>
        <w:t>,</w:t>
      </w:r>
      <w:r>
        <w:rPr>
          <w:sz w:val="24"/>
          <w:szCs w:val="24"/>
        </w:rPr>
        <w:t xml:space="preserve"> P）和TM原子（3d</w:t>
      </w:r>
      <w:r>
        <w:rPr>
          <w:rFonts w:hint="eastAsia"/>
          <w:sz w:val="24"/>
          <w:szCs w:val="24"/>
        </w:rPr>
        <w:t>,</w:t>
      </w:r>
      <w:r>
        <w:rPr>
          <w:sz w:val="24"/>
          <w:szCs w:val="24"/>
        </w:rPr>
        <w:t xml:space="preserve"> 4d</w:t>
      </w:r>
      <w:r>
        <w:rPr>
          <w:rFonts w:hint="eastAsia"/>
          <w:sz w:val="24"/>
          <w:szCs w:val="24"/>
        </w:rPr>
        <w:t>,</w:t>
      </w:r>
      <w:r>
        <w:rPr>
          <w:sz w:val="24"/>
          <w:szCs w:val="24"/>
        </w:rPr>
        <w:t xml:space="preserve"> 5d）的一系列的TiVCO</w:t>
      </w:r>
      <w:r>
        <w:rPr>
          <w:sz w:val="24"/>
          <w:szCs w:val="24"/>
          <w:vertAlign w:val="subscript"/>
        </w:rPr>
        <w:t>2</w:t>
      </w:r>
      <w:r>
        <w:rPr>
          <w:sz w:val="24"/>
          <w:szCs w:val="24"/>
        </w:rPr>
        <w:t>催化材料，积累了一定的数据量，为了加速计算过程，我们利用机器学习来预测引入非金属原子S的</w:t>
      </w:r>
      <w:r>
        <w:rPr>
          <w:color w:val="000000"/>
          <w:kern w:val="0"/>
          <w:sz w:val="24"/>
          <w:szCs w:val="24"/>
          <w:lang w:bidi="ar"/>
        </w:rPr>
        <w:t>TM-S-TiVCO</w:t>
      </w:r>
      <w:r>
        <w:rPr>
          <w:color w:val="000000"/>
          <w:kern w:val="0"/>
          <w:sz w:val="24"/>
          <w:szCs w:val="24"/>
          <w:vertAlign w:val="subscript"/>
          <w:lang w:bidi="ar"/>
        </w:rPr>
        <w:t>2</w:t>
      </w:r>
      <w:r>
        <w:rPr>
          <w:sz w:val="24"/>
          <w:szCs w:val="24"/>
        </w:rPr>
        <w:t>催化材料的HER性能。图</w:t>
      </w:r>
      <w:r>
        <w:rPr>
          <w:rFonts w:hint="eastAsia"/>
          <w:sz w:val="24"/>
          <w:szCs w:val="24"/>
        </w:rPr>
        <w:t>16</w:t>
      </w:r>
      <w:r>
        <w:rPr>
          <w:sz w:val="24"/>
          <w:szCs w:val="24"/>
        </w:rPr>
        <w:t>是机器学习工作流程图，首先计算得到的初始数据集经过特征筛选和降维后代入7种不同的算法进</w:t>
      </w:r>
      <w:r>
        <w:rPr>
          <w:rFonts w:hint="eastAsia"/>
          <w:sz w:val="24"/>
          <w:szCs w:val="24"/>
        </w:rPr>
        <w:t>行</w:t>
      </w:r>
      <w:r>
        <w:rPr>
          <w:sz w:val="24"/>
          <w:szCs w:val="24"/>
        </w:rPr>
        <w:t>训练，</w:t>
      </w:r>
      <w:bookmarkEnd w:id="92"/>
      <w:r>
        <w:rPr>
          <w:rFonts w:hint="eastAsia"/>
          <w:sz w:val="24"/>
          <w:szCs w:val="24"/>
        </w:rPr>
        <w:t>而采用这么多不同算法的原因就是著名的“没有免费的午餐”定理，即由于对所有可能函数的相互补偿，最优化算法的性能是等价的。因此应用的算法</w:t>
      </w:r>
      <w:bookmarkStart w:id="93" w:name="OLE_LINK48"/>
      <w:r>
        <w:rPr>
          <w:rFonts w:hint="eastAsia"/>
          <w:sz w:val="24"/>
          <w:szCs w:val="24"/>
        </w:rPr>
        <w:t>有：</w:t>
      </w:r>
      <w:r>
        <w:rPr>
          <w:sz w:val="24"/>
          <w:szCs w:val="24"/>
        </w:rPr>
        <w:t>K邻近算法（KNN）、二次判别分析（QDA）、决策树（DT）、逻辑回归（LR）、</w:t>
      </w:r>
      <w:r>
        <w:rPr>
          <w:rFonts w:hint="eastAsia"/>
          <w:sz w:val="24"/>
          <w:szCs w:val="24"/>
          <w:lang w:val="en-US" w:eastAsia="zh-CN"/>
        </w:rPr>
        <w:t>朴素贝叶斯（</w:t>
      </w:r>
      <w:r>
        <w:rPr>
          <w:sz w:val="24"/>
          <w:szCs w:val="24"/>
        </w:rPr>
        <w:t>Naive Bayes</w:t>
      </w:r>
      <w:r>
        <w:rPr>
          <w:rFonts w:hint="eastAsia"/>
          <w:sz w:val="24"/>
          <w:szCs w:val="24"/>
          <w:lang w:eastAsia="zh-CN"/>
        </w:rPr>
        <w:t>）</w:t>
      </w:r>
      <w:r>
        <w:rPr>
          <w:sz w:val="24"/>
          <w:szCs w:val="24"/>
        </w:rPr>
        <w:t>、支持向量机（SVM）和集成算法</w:t>
      </w:r>
      <w:r>
        <w:rPr>
          <w:rFonts w:hint="eastAsia"/>
          <w:sz w:val="24"/>
          <w:szCs w:val="24"/>
          <w:lang w:eastAsia="zh-CN"/>
        </w:rPr>
        <w:t>（</w:t>
      </w:r>
      <w:r>
        <w:rPr>
          <w:sz w:val="24"/>
          <w:szCs w:val="24"/>
        </w:rPr>
        <w:t>XGBoost</w:t>
      </w:r>
      <w:r>
        <w:rPr>
          <w:rFonts w:hint="eastAsia"/>
          <w:sz w:val="24"/>
          <w:szCs w:val="24"/>
          <w:lang w:eastAsia="zh-CN"/>
        </w:rPr>
        <w:t>）</w:t>
      </w:r>
      <w:r>
        <w:rPr>
          <w:sz w:val="24"/>
          <w:szCs w:val="24"/>
        </w:rPr>
        <w:t>，最后将测试集代入训练好的模型中再对模型进行评估筛选出最优模型。</w:t>
      </w:r>
      <w:bookmarkEnd w:id="93"/>
      <w:r>
        <w:rPr>
          <w:rFonts w:hint="eastAsia"/>
          <w:sz w:val="24"/>
          <w:szCs w:val="24"/>
        </w:rPr>
        <w:t>其中XGBoost算法是一种基于梯度提升树的算法，因此首先要了解梯度提升树的原理。</w:t>
      </w:r>
      <w:r>
        <w:rPr>
          <w:rFonts w:hint="eastAsia"/>
          <w:sz w:val="24"/>
          <w:szCs w:val="24"/>
          <w:highlight w:val="none"/>
        </w:rPr>
        <w:t>梯度提升树是一种集成学习方法，通过逐步迭代地训练一系列弱学习器（通常是决策树），每一次迭代都尝试纠正前一次迭代的误差，最终将这些弱学习器组合成一个强学习器，由于具有这种强学习器的优势是目前研究工作中使用较多的算法之一，下面是我们导入材料数据库XGBoost模型训练的代码演示（图17）。</w:t>
      </w:r>
    </w:p>
    <w:p>
      <w:pPr>
        <w:adjustRightInd w:val="0"/>
        <w:snapToGrid w:val="0"/>
        <w:spacing w:line="360" w:lineRule="auto"/>
        <w:ind w:firstLine="480" w:firstLineChars="200"/>
        <w:rPr>
          <w:sz w:val="24"/>
          <w:szCs w:val="24"/>
        </w:rPr>
      </w:pPr>
    </w:p>
    <w:p>
      <w:pPr>
        <w:adjustRightInd w:val="0"/>
        <w:snapToGrid w:val="0"/>
        <w:spacing w:line="360" w:lineRule="auto"/>
        <w:jc w:val="center"/>
      </w:pPr>
      <w:r>
        <w:drawing>
          <wp:inline distT="0" distB="0" distL="114300" distR="114300">
            <wp:extent cx="1786890" cy="3311525"/>
            <wp:effectExtent l="0" t="0" r="0" b="31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1786890" cy="3311525"/>
                    </a:xfrm>
                    <a:prstGeom prst="rect">
                      <a:avLst/>
                    </a:prstGeom>
                  </pic:spPr>
                </pic:pic>
              </a:graphicData>
            </a:graphic>
          </wp:inline>
        </w:drawing>
      </w:r>
    </w:p>
    <w:p>
      <w:pPr>
        <w:pStyle w:val="5"/>
        <w:adjustRightInd w:val="0"/>
        <w:snapToGrid w:val="0"/>
        <w:spacing w:line="360" w:lineRule="auto"/>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16</w:t>
      </w:r>
      <w:r>
        <w:rPr>
          <w:rFonts w:ascii="Times New Roman" w:hAnsi="Times New Roman" w:eastAsia="宋体"/>
          <w:sz w:val="21"/>
          <w:szCs w:val="21"/>
        </w:rPr>
        <w:fldChar w:fldCharType="end"/>
      </w:r>
      <w:bookmarkStart w:id="94" w:name="_Toc16276"/>
      <w:r>
        <w:rPr>
          <w:rFonts w:ascii="Times New Roman" w:hAnsi="Times New Roman" w:eastAsia="宋体"/>
          <w:sz w:val="21"/>
          <w:szCs w:val="21"/>
        </w:rPr>
        <w:t xml:space="preserve"> </w:t>
      </w:r>
      <w:r>
        <w:rPr>
          <w:rFonts w:ascii="Times New Roman" w:hAnsi="Times New Roman" w:eastAsia="宋体"/>
          <w:color w:val="000000"/>
          <w:kern w:val="0"/>
          <w:sz w:val="21"/>
          <w:szCs w:val="21"/>
          <w:lang w:bidi="ar"/>
        </w:rPr>
        <w:t>机器学习流程图</w:t>
      </w:r>
      <w:bookmarkEnd w:id="94"/>
    </w:p>
    <w:p>
      <w:pPr>
        <w:adjustRightInd w:val="0"/>
        <w:snapToGrid w:val="0"/>
        <w:spacing w:line="360" w:lineRule="auto"/>
        <w:jc w:val="center"/>
        <w:rPr>
          <w:sz w:val="24"/>
          <w:szCs w:val="24"/>
        </w:rPr>
      </w:pPr>
      <w:r>
        <w:rPr>
          <w:sz w:val="24"/>
          <w:szCs w:val="24"/>
        </w:rPr>
        <w:drawing>
          <wp:inline distT="0" distB="0" distL="114300" distR="114300">
            <wp:extent cx="2585720" cy="6157595"/>
            <wp:effectExtent l="0" t="0" r="5080" b="14605"/>
            <wp:docPr id="3" name="图片 3" descr="xgbo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gboost"/>
                    <pic:cNvPicPr>
                      <a:picLocks noChangeAspect="1"/>
                    </pic:cNvPicPr>
                  </pic:nvPicPr>
                  <pic:blipFill>
                    <a:blip r:embed="rId22"/>
                    <a:srcRect l="9192" t="5575" r="10409" b="5523"/>
                    <a:stretch>
                      <a:fillRect/>
                    </a:stretch>
                  </pic:blipFill>
                  <pic:spPr>
                    <a:xfrm>
                      <a:off x="0" y="0"/>
                      <a:ext cx="2585720" cy="6157595"/>
                    </a:xfrm>
                    <a:prstGeom prst="rect">
                      <a:avLst/>
                    </a:prstGeom>
                  </pic:spPr>
                </pic:pic>
              </a:graphicData>
            </a:graphic>
          </wp:inline>
        </w:drawing>
      </w:r>
    </w:p>
    <w:p>
      <w:pPr>
        <w:pStyle w:val="5"/>
        <w:adjustRightInd w:val="0"/>
        <w:snapToGrid w:val="0"/>
        <w:spacing w:line="360" w:lineRule="auto"/>
        <w:jc w:val="center"/>
        <w:rPr>
          <w:rFonts w:ascii="Times New Roman" w:hAnsi="Times New Roman" w:eastAsia="宋体"/>
          <w:color w:val="000000"/>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17</w:t>
      </w:r>
      <w:r>
        <w:rPr>
          <w:rFonts w:ascii="Times New Roman" w:hAnsi="Times New Roman" w:eastAsia="宋体"/>
          <w:sz w:val="21"/>
          <w:szCs w:val="21"/>
        </w:rPr>
        <w:fldChar w:fldCharType="end"/>
      </w:r>
      <w:bookmarkStart w:id="95" w:name="_Toc31718"/>
      <w:r>
        <w:rPr>
          <w:rFonts w:ascii="Times New Roman" w:hAnsi="Times New Roman" w:eastAsia="宋体"/>
          <w:sz w:val="21"/>
          <w:szCs w:val="21"/>
        </w:rPr>
        <w:t xml:space="preserve"> </w:t>
      </w:r>
      <w:r>
        <w:rPr>
          <w:rFonts w:ascii="Times New Roman" w:hAnsi="Times New Roman" w:eastAsia="宋体"/>
          <w:color w:val="000000"/>
          <w:sz w:val="21"/>
          <w:szCs w:val="21"/>
        </w:rPr>
        <w:t>XGBoost代码展示</w:t>
      </w:r>
      <w:bookmarkEnd w:id="95"/>
    </w:p>
    <w:p/>
    <w:p>
      <w:pPr>
        <w:pStyle w:val="4"/>
        <w:keepNext/>
        <w:keepLines/>
        <w:pageBreakBefore w:val="0"/>
        <w:widowControl w:val="0"/>
        <w:kinsoku/>
        <w:wordWrap/>
        <w:overflowPunct/>
        <w:topLinePunct w:val="0"/>
        <w:autoSpaceDE/>
        <w:autoSpaceDN/>
        <w:bidi w:val="0"/>
        <w:adjustRightInd/>
        <w:snapToGrid/>
        <w:spacing w:after="164" w:afterLines="50"/>
        <w:textAlignment w:val="auto"/>
      </w:pPr>
      <w:bookmarkStart w:id="96" w:name="_Toc20584"/>
      <w:r>
        <w:rPr>
          <w:rFonts w:hint="eastAsia"/>
        </w:rPr>
        <w:t>2.3.1关键特征选取</w:t>
      </w:r>
      <w:bookmarkEnd w:id="96"/>
    </w:p>
    <w:p>
      <w:pPr>
        <w:adjustRightInd w:val="0"/>
        <w:snapToGrid w:val="0"/>
        <w:spacing w:line="360" w:lineRule="auto"/>
        <w:ind w:firstLine="480" w:firstLineChars="200"/>
        <w:rPr>
          <w:color w:val="000000"/>
          <w:kern w:val="0"/>
          <w:sz w:val="24"/>
          <w:szCs w:val="24"/>
          <w:lang w:bidi="ar"/>
        </w:rPr>
      </w:pPr>
      <w:r>
        <w:rPr>
          <w:sz w:val="24"/>
          <w:szCs w:val="24"/>
        </w:rPr>
        <w:t>关键特征的选择和设计是ML模型开发的关键。所选的特性应该是独特的、快速的和易于访问的。基于这些原则，我们选择了23个主要特征，如表1所示。它们被分为两大类，DFT计算特征和元素自有特征。在计算特征中需要经过一次DFT计算的有</w:t>
      </w:r>
      <w:r>
        <w:rPr>
          <w:color w:val="000000"/>
          <w:sz w:val="24"/>
          <w:szCs w:val="24"/>
        </w:rPr>
        <w:t>L</w:t>
      </w:r>
      <w:r>
        <w:rPr>
          <w:rFonts w:hint="eastAsia"/>
          <w:color w:val="000000"/>
          <w:sz w:val="24"/>
          <w:szCs w:val="24"/>
        </w:rPr>
        <w:t>（</w:t>
      </w:r>
      <w:r>
        <w:rPr>
          <w:color w:val="000000"/>
          <w:sz w:val="24"/>
          <w:szCs w:val="24"/>
        </w:rPr>
        <w:t>TM-O</w:t>
      </w:r>
      <w:r>
        <w:rPr>
          <w:rFonts w:hint="eastAsia"/>
          <w:color w:val="000000"/>
          <w:sz w:val="24"/>
          <w:szCs w:val="24"/>
        </w:rPr>
        <w:t>）、</w:t>
      </w:r>
      <w:r>
        <w:rPr>
          <w:color w:val="000000"/>
          <w:sz w:val="24"/>
          <w:szCs w:val="24"/>
        </w:rPr>
        <w:t xml:space="preserve"> L</w:t>
      </w:r>
      <w:r>
        <w:rPr>
          <w:rFonts w:hint="eastAsia"/>
          <w:color w:val="000000"/>
          <w:sz w:val="24"/>
          <w:szCs w:val="24"/>
        </w:rPr>
        <w:t>（</w:t>
      </w:r>
      <w:r>
        <w:rPr>
          <w:color w:val="000000"/>
          <w:sz w:val="24"/>
          <w:szCs w:val="24"/>
        </w:rPr>
        <w:t>TM-M</w:t>
      </w:r>
      <w:r>
        <w:rPr>
          <w:rFonts w:hint="eastAsia"/>
          <w:color w:val="000000"/>
          <w:sz w:val="24"/>
          <w:szCs w:val="24"/>
        </w:rPr>
        <w:t>）、</w:t>
      </w:r>
      <w:r>
        <w:rPr>
          <w:color w:val="000000"/>
          <w:sz w:val="24"/>
          <w:szCs w:val="24"/>
        </w:rPr>
        <w:t>L</w:t>
      </w:r>
      <w:r>
        <w:rPr>
          <w:rFonts w:hint="eastAsia"/>
          <w:color w:val="000000"/>
          <w:sz w:val="24"/>
          <w:szCs w:val="24"/>
        </w:rPr>
        <w:t>（</w:t>
      </w:r>
      <w:r>
        <w:rPr>
          <w:color w:val="000000"/>
          <w:sz w:val="24"/>
          <w:szCs w:val="24"/>
        </w:rPr>
        <w:t>OH-M</w:t>
      </w:r>
      <w:r>
        <w:rPr>
          <w:rFonts w:hint="eastAsia"/>
          <w:color w:val="000000"/>
          <w:sz w:val="24"/>
          <w:szCs w:val="24"/>
        </w:rPr>
        <w:t>）、</w:t>
      </w:r>
      <w:r>
        <w:rPr>
          <w:color w:val="000000"/>
          <w:sz w:val="24"/>
          <w:szCs w:val="24"/>
        </w:rPr>
        <w:t xml:space="preserve"> L</w:t>
      </w:r>
      <w:r>
        <w:rPr>
          <w:rFonts w:hint="eastAsia"/>
          <w:color w:val="000000"/>
          <w:sz w:val="24"/>
          <w:szCs w:val="24"/>
        </w:rPr>
        <w:t>（</w:t>
      </w:r>
      <w:r>
        <w:rPr>
          <w:color w:val="000000"/>
          <w:sz w:val="24"/>
          <w:szCs w:val="24"/>
        </w:rPr>
        <w:t>O-O</w:t>
      </w:r>
      <w:r>
        <w:rPr>
          <w:color w:val="000000"/>
          <w:sz w:val="24"/>
          <w:szCs w:val="24"/>
          <w:vertAlign w:val="subscript"/>
        </w:rPr>
        <w:t>H</w:t>
      </w:r>
      <w:r>
        <w:rPr>
          <w:rFonts w:hint="eastAsia"/>
          <w:color w:val="000000"/>
          <w:sz w:val="24"/>
          <w:szCs w:val="24"/>
        </w:rPr>
        <w:t>）</w:t>
      </w:r>
      <w:r>
        <w:rPr>
          <w:color w:val="000000"/>
          <w:sz w:val="24"/>
          <w:szCs w:val="24"/>
        </w:rPr>
        <w:t>和L</w:t>
      </w:r>
      <w:r>
        <w:rPr>
          <w:rFonts w:hint="eastAsia"/>
          <w:color w:val="000000"/>
          <w:sz w:val="24"/>
          <w:szCs w:val="24"/>
        </w:rPr>
        <w:t>（</w:t>
      </w:r>
      <w:r>
        <w:rPr>
          <w:color w:val="000000"/>
          <w:sz w:val="24"/>
          <w:szCs w:val="24"/>
        </w:rPr>
        <w:t>Ti-NM</w:t>
      </w:r>
      <w:r>
        <w:rPr>
          <w:rFonts w:hint="eastAsia"/>
          <w:color w:val="000000"/>
          <w:sz w:val="24"/>
          <w:szCs w:val="24"/>
        </w:rPr>
        <w:t>）</w:t>
      </w:r>
      <w:r>
        <w:rPr>
          <w:color w:val="000000"/>
          <w:sz w:val="24"/>
          <w:szCs w:val="24"/>
        </w:rPr>
        <w:t>这5个特征，而其余的则需要通过第二次DFT计算才能得到。元素特征中的7个特征则是材料对应元素的本征属性不需要计算就可获取。</w:t>
      </w:r>
    </w:p>
    <w:p>
      <w:pPr>
        <w:jc w:val="center"/>
        <w:rPr>
          <w:color w:val="000000"/>
          <w:szCs w:val="21"/>
        </w:rPr>
      </w:pPr>
    </w:p>
    <w:p>
      <w:pPr>
        <w:jc w:val="center"/>
        <w:rPr>
          <w:color w:val="000000"/>
          <w:szCs w:val="21"/>
        </w:rPr>
      </w:pPr>
      <w:r>
        <w:rPr>
          <w:color w:val="000000"/>
          <w:szCs w:val="21"/>
        </w:rPr>
        <w:t>表1 TM-NM-TiVCO</w:t>
      </w:r>
      <w:r>
        <w:rPr>
          <w:color w:val="000000"/>
          <w:szCs w:val="21"/>
          <w:vertAlign w:val="subscript"/>
        </w:rPr>
        <w:t>2</w:t>
      </w:r>
      <w:r>
        <w:rPr>
          <w:color w:val="000000"/>
          <w:szCs w:val="21"/>
        </w:rPr>
        <w:t>的DFT计算和元素自有特征</w:t>
      </w:r>
    </w:p>
    <w:tbl>
      <w:tblPr>
        <w:tblStyle w:val="16"/>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13"/>
        <w:gridCol w:w="3923"/>
        <w:gridCol w:w="894"/>
        <w:gridCol w:w="228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single" w:color="000000" w:sz="12" w:space="0"/>
              <w:bottom w:val="single" w:color="000000" w:sz="4" w:space="0"/>
              <w:tl2br w:val="nil"/>
            </w:tcBorders>
            <w:shd w:val="clear" w:color="auto" w:fill="FFFFFF"/>
            <w:vAlign w:val="center"/>
          </w:tcPr>
          <w:p>
            <w:pPr>
              <w:spacing w:line="360" w:lineRule="auto"/>
              <w:jc w:val="center"/>
              <w:rPr>
                <w:color w:val="000000"/>
                <w:sz w:val="20"/>
                <w:szCs w:val="16"/>
              </w:rPr>
            </w:pPr>
          </w:p>
        </w:tc>
        <w:tc>
          <w:tcPr>
            <w:tcW w:w="3923" w:type="dxa"/>
            <w:tcBorders>
              <w:top w:val="single" w:color="000000" w:sz="12" w:space="0"/>
              <w:bottom w:val="single" w:color="000000" w:sz="4" w:space="0"/>
            </w:tcBorders>
            <w:shd w:val="clear" w:color="auto" w:fill="FFFFFF"/>
            <w:vAlign w:val="center"/>
          </w:tcPr>
          <w:p>
            <w:pPr>
              <w:tabs>
                <w:tab w:val="left" w:pos="627"/>
                <w:tab w:val="center" w:pos="1945"/>
              </w:tabs>
              <w:spacing w:line="360" w:lineRule="auto"/>
              <w:jc w:val="center"/>
              <w:rPr>
                <w:color w:val="000000"/>
                <w:sz w:val="20"/>
                <w:szCs w:val="16"/>
              </w:rPr>
            </w:pPr>
            <w:r>
              <w:rPr>
                <w:color w:val="000000"/>
                <w:sz w:val="20"/>
                <w:szCs w:val="16"/>
              </w:rPr>
              <w:t>DFT calculated features</w:t>
            </w:r>
          </w:p>
        </w:tc>
        <w:tc>
          <w:tcPr>
            <w:tcW w:w="894" w:type="dxa"/>
            <w:tcBorders>
              <w:top w:val="single" w:color="000000" w:sz="12" w:space="0"/>
              <w:bottom w:val="single" w:color="000000" w:sz="4" w:space="0"/>
            </w:tcBorders>
            <w:shd w:val="clear" w:color="auto" w:fill="FFFFFF"/>
            <w:vAlign w:val="center"/>
          </w:tcPr>
          <w:p>
            <w:pPr>
              <w:spacing w:line="360" w:lineRule="auto"/>
              <w:jc w:val="center"/>
              <w:rPr>
                <w:color w:val="000000"/>
                <w:sz w:val="20"/>
                <w:szCs w:val="16"/>
              </w:rPr>
            </w:pPr>
          </w:p>
        </w:tc>
        <w:tc>
          <w:tcPr>
            <w:tcW w:w="2284" w:type="dxa"/>
            <w:tcBorders>
              <w:top w:val="single" w:color="000000" w:sz="12" w:space="0"/>
              <w:bottom w:val="single" w:color="000000" w:sz="4" w:space="0"/>
            </w:tcBorders>
            <w:shd w:val="clear" w:color="auto" w:fill="FFFFFF"/>
            <w:vAlign w:val="center"/>
          </w:tcPr>
          <w:p>
            <w:pPr>
              <w:spacing w:line="360" w:lineRule="auto"/>
              <w:jc w:val="center"/>
              <w:rPr>
                <w:color w:val="000000"/>
                <w:sz w:val="20"/>
                <w:szCs w:val="16"/>
              </w:rPr>
            </w:pPr>
            <w:r>
              <w:rPr>
                <w:color w:val="000000"/>
                <w:sz w:val="20"/>
                <w:szCs w:val="16"/>
              </w:rPr>
              <w:t>Elemental features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single" w:color="000000" w:sz="4" w:space="0"/>
              <w:bottom w:val="nil"/>
            </w:tcBorders>
            <w:shd w:val="clear" w:color="auto" w:fill="FFFFFF"/>
            <w:vAlign w:val="center"/>
          </w:tcPr>
          <w:p>
            <w:pPr>
              <w:spacing w:line="360" w:lineRule="auto"/>
              <w:jc w:val="center"/>
              <w:rPr>
                <w:color w:val="000000"/>
                <w:sz w:val="20"/>
                <w:szCs w:val="16"/>
              </w:rPr>
            </w:pPr>
            <w:r>
              <w:rPr>
                <w:color w:val="000000"/>
                <w:sz w:val="20"/>
                <w:szCs w:val="16"/>
              </w:rPr>
              <w:t>L</w:t>
            </w:r>
            <w:r>
              <w:rPr>
                <w:rFonts w:hint="eastAsia"/>
                <w:color w:val="000000"/>
                <w:sz w:val="20"/>
                <w:szCs w:val="16"/>
              </w:rPr>
              <w:t>（</w:t>
            </w:r>
            <w:r>
              <w:rPr>
                <w:color w:val="000000"/>
                <w:sz w:val="20"/>
                <w:szCs w:val="16"/>
              </w:rPr>
              <w:t>TM-O</w:t>
            </w:r>
            <w:r>
              <w:rPr>
                <w:rFonts w:hint="eastAsia"/>
                <w:color w:val="000000"/>
                <w:sz w:val="20"/>
                <w:szCs w:val="16"/>
              </w:rPr>
              <w:t>）</w:t>
            </w:r>
            <w:r>
              <w:rPr>
                <w:color w:val="000000"/>
                <w:sz w:val="20"/>
                <w:szCs w:val="16"/>
              </w:rPr>
              <w:t xml:space="preserve"> </w:t>
            </w:r>
          </w:p>
          <w:p>
            <w:pPr>
              <w:spacing w:line="360" w:lineRule="auto"/>
              <w:jc w:val="center"/>
              <w:rPr>
                <w:color w:val="000000"/>
                <w:sz w:val="20"/>
                <w:szCs w:val="16"/>
              </w:rPr>
            </w:pPr>
            <w:r>
              <w:rPr>
                <w:color w:val="000000"/>
                <w:sz w:val="20"/>
                <w:szCs w:val="16"/>
              </w:rPr>
              <w:t>L</w:t>
            </w:r>
            <w:r>
              <w:rPr>
                <w:rFonts w:hint="eastAsia"/>
                <w:color w:val="000000"/>
                <w:sz w:val="20"/>
                <w:szCs w:val="16"/>
              </w:rPr>
              <w:t>（</w:t>
            </w:r>
            <w:r>
              <w:rPr>
                <w:color w:val="000000"/>
                <w:sz w:val="20"/>
                <w:szCs w:val="16"/>
              </w:rPr>
              <w:t>TM-M</w:t>
            </w:r>
            <w:r>
              <w:rPr>
                <w:rFonts w:hint="eastAsia"/>
                <w:color w:val="000000"/>
                <w:sz w:val="20"/>
                <w:szCs w:val="16"/>
              </w:rPr>
              <w:t>）</w:t>
            </w:r>
          </w:p>
        </w:tc>
        <w:tc>
          <w:tcPr>
            <w:tcW w:w="3923" w:type="dxa"/>
            <w:tcBorders>
              <w:top w:val="single" w:color="000000" w:sz="4" w:space="0"/>
              <w:bottom w:val="nil"/>
            </w:tcBorders>
            <w:shd w:val="clear" w:color="auto" w:fill="FFFFFF"/>
            <w:vAlign w:val="center"/>
          </w:tcPr>
          <w:p>
            <w:pPr>
              <w:jc w:val="center"/>
              <w:rPr>
                <w:color w:val="000000"/>
                <w:sz w:val="20"/>
                <w:szCs w:val="16"/>
              </w:rPr>
            </w:pPr>
            <w:r>
              <w:rPr>
                <w:color w:val="000000"/>
                <w:sz w:val="20"/>
                <w:szCs w:val="16"/>
              </w:rPr>
              <w:t>Average bond length between doping TM and the nearest oxygen atoms/metal atom</w:t>
            </w:r>
          </w:p>
        </w:tc>
        <w:tc>
          <w:tcPr>
            <w:tcW w:w="894" w:type="dxa"/>
            <w:tcBorders>
              <w:top w:val="single" w:color="000000" w:sz="4" w:space="0"/>
              <w:bottom w:val="nil"/>
            </w:tcBorders>
            <w:shd w:val="clear" w:color="auto" w:fill="FFFFFF"/>
            <w:vAlign w:val="center"/>
          </w:tcPr>
          <w:p>
            <w:pPr>
              <w:jc w:val="center"/>
              <w:rPr>
                <w:rFonts w:eastAsiaTheme="minorEastAsia"/>
                <w:color w:val="000000"/>
                <w:sz w:val="20"/>
                <w:szCs w:val="16"/>
              </w:rPr>
            </w:pPr>
            <w:r>
              <w:rPr>
                <w:color w:val="000000"/>
                <w:sz w:val="20"/>
                <w:szCs w:val="16"/>
              </w:rPr>
              <w:t>n</w:t>
            </w:r>
            <w:r>
              <w:rPr>
                <w:color w:val="000000"/>
                <w:sz w:val="20"/>
                <w:szCs w:val="16"/>
                <w:vertAlign w:val="subscript"/>
              </w:rPr>
              <w:t>TM</w:t>
            </w:r>
          </w:p>
        </w:tc>
        <w:tc>
          <w:tcPr>
            <w:tcW w:w="2284" w:type="dxa"/>
            <w:tcBorders>
              <w:top w:val="single" w:color="000000" w:sz="4" w:space="0"/>
              <w:bottom w:val="nil"/>
            </w:tcBorders>
            <w:shd w:val="clear" w:color="auto" w:fill="FFFFFF"/>
            <w:vAlign w:val="center"/>
          </w:tcPr>
          <w:p>
            <w:pPr>
              <w:jc w:val="center"/>
              <w:rPr>
                <w:color w:val="000000"/>
                <w:sz w:val="20"/>
                <w:szCs w:val="16"/>
              </w:rPr>
            </w:pPr>
            <w:r>
              <w:rPr>
                <w:color w:val="000000"/>
                <w:sz w:val="20"/>
                <w:szCs w:val="16"/>
              </w:rPr>
              <w:t>Valence electron of the doping TM atom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nil"/>
            </w:tcBorders>
            <w:shd w:val="clear" w:color="auto" w:fill="FFFFFF"/>
            <w:vAlign w:val="center"/>
          </w:tcPr>
          <w:p>
            <w:pPr>
              <w:spacing w:line="360" w:lineRule="auto"/>
              <w:jc w:val="center"/>
              <w:rPr>
                <w:color w:val="000000"/>
                <w:sz w:val="20"/>
                <w:szCs w:val="16"/>
              </w:rPr>
            </w:pPr>
            <w:r>
              <w:rPr>
                <w:color w:val="000000"/>
                <w:sz w:val="20"/>
                <w:szCs w:val="16"/>
              </w:rPr>
              <w:t>L</w:t>
            </w:r>
            <w:r>
              <w:rPr>
                <w:rFonts w:hint="eastAsia"/>
                <w:color w:val="000000"/>
                <w:sz w:val="20"/>
                <w:szCs w:val="16"/>
              </w:rPr>
              <w:t>（</w:t>
            </w:r>
            <w:r>
              <w:rPr>
                <w:color w:val="000000"/>
                <w:sz w:val="20"/>
                <w:szCs w:val="16"/>
              </w:rPr>
              <w:t>O</w:t>
            </w:r>
            <w:r>
              <w:rPr>
                <w:color w:val="000000"/>
                <w:sz w:val="20"/>
                <w:szCs w:val="16"/>
                <w:vertAlign w:val="subscript"/>
              </w:rPr>
              <w:t>H</w:t>
            </w:r>
            <w:r>
              <w:rPr>
                <w:color w:val="000000"/>
                <w:sz w:val="20"/>
                <w:szCs w:val="16"/>
              </w:rPr>
              <w:t>-M</w:t>
            </w:r>
            <w:r>
              <w:rPr>
                <w:rFonts w:hint="eastAsia"/>
                <w:color w:val="000000"/>
                <w:sz w:val="20"/>
                <w:szCs w:val="16"/>
              </w:rPr>
              <w:t>）</w:t>
            </w:r>
          </w:p>
        </w:tc>
        <w:tc>
          <w:tcPr>
            <w:tcW w:w="3923" w:type="dxa"/>
            <w:tcBorders>
              <w:top w:val="nil"/>
              <w:bottom w:val="nil"/>
            </w:tcBorders>
            <w:shd w:val="clear" w:color="auto" w:fill="FFFFFF"/>
            <w:vAlign w:val="center"/>
          </w:tcPr>
          <w:p>
            <w:pPr>
              <w:jc w:val="center"/>
              <w:rPr>
                <w:color w:val="000000"/>
                <w:sz w:val="20"/>
                <w:szCs w:val="16"/>
              </w:rPr>
            </w:pPr>
            <w:r>
              <w:rPr>
                <w:color w:val="000000"/>
                <w:sz w:val="20"/>
                <w:szCs w:val="16"/>
              </w:rPr>
              <w:t>Average bond length between oxygen atom adsorbing hydrogen and the nearest metal atoms</w:t>
            </w:r>
          </w:p>
        </w:tc>
        <w:tc>
          <w:tcPr>
            <w:tcW w:w="894"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E</w:t>
            </w:r>
            <w:r>
              <w:rPr>
                <w:color w:val="000000"/>
                <w:sz w:val="20"/>
                <w:szCs w:val="16"/>
                <w:vertAlign w:val="subscript"/>
              </w:rPr>
              <w:t>i</w:t>
            </w:r>
          </w:p>
        </w:tc>
        <w:tc>
          <w:tcPr>
            <w:tcW w:w="2284" w:type="dxa"/>
            <w:tcBorders>
              <w:top w:val="nil"/>
              <w:bottom w:val="nil"/>
            </w:tcBorders>
            <w:shd w:val="clear" w:color="auto" w:fill="FFFFFF"/>
            <w:vAlign w:val="center"/>
          </w:tcPr>
          <w:p>
            <w:pPr>
              <w:jc w:val="center"/>
              <w:rPr>
                <w:color w:val="000000"/>
                <w:sz w:val="20"/>
                <w:szCs w:val="16"/>
              </w:rPr>
            </w:pPr>
            <w:r>
              <w:rPr>
                <w:color w:val="000000"/>
                <w:sz w:val="20"/>
                <w:szCs w:val="16"/>
              </w:rPr>
              <w:t>First ionization energy of the doping TM atom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nil"/>
            </w:tcBorders>
            <w:shd w:val="clear" w:color="auto" w:fill="FFFFFF"/>
            <w:vAlign w:val="center"/>
          </w:tcPr>
          <w:p>
            <w:pPr>
              <w:spacing w:line="360" w:lineRule="auto"/>
              <w:jc w:val="center"/>
              <w:rPr>
                <w:color w:val="000000"/>
                <w:sz w:val="20"/>
                <w:szCs w:val="16"/>
              </w:rPr>
            </w:pPr>
            <w:r>
              <w:rPr>
                <w:color w:val="000000"/>
                <w:sz w:val="20"/>
                <w:szCs w:val="16"/>
              </w:rPr>
              <w:t>L</w:t>
            </w:r>
            <w:r>
              <w:rPr>
                <w:rFonts w:hint="eastAsia"/>
                <w:color w:val="000000"/>
                <w:sz w:val="20"/>
                <w:szCs w:val="16"/>
              </w:rPr>
              <w:t>（</w:t>
            </w:r>
            <w:r>
              <w:rPr>
                <w:color w:val="000000"/>
                <w:sz w:val="20"/>
                <w:szCs w:val="16"/>
              </w:rPr>
              <w:t>O-O</w:t>
            </w:r>
            <w:r>
              <w:rPr>
                <w:color w:val="000000"/>
                <w:sz w:val="20"/>
                <w:szCs w:val="16"/>
                <w:vertAlign w:val="subscript"/>
              </w:rPr>
              <w:t>H</w:t>
            </w:r>
            <w:r>
              <w:rPr>
                <w:rFonts w:hint="eastAsia"/>
                <w:color w:val="000000"/>
                <w:sz w:val="20"/>
                <w:szCs w:val="16"/>
              </w:rPr>
              <w:t>）</w:t>
            </w:r>
          </w:p>
        </w:tc>
        <w:tc>
          <w:tcPr>
            <w:tcW w:w="3923" w:type="dxa"/>
            <w:tcBorders>
              <w:top w:val="nil"/>
              <w:bottom w:val="nil"/>
            </w:tcBorders>
            <w:shd w:val="clear" w:color="auto" w:fill="FFFFFF"/>
            <w:vAlign w:val="center"/>
          </w:tcPr>
          <w:p>
            <w:pPr>
              <w:jc w:val="center"/>
              <w:rPr>
                <w:color w:val="000000"/>
                <w:sz w:val="20"/>
                <w:szCs w:val="16"/>
              </w:rPr>
            </w:pPr>
            <w:r>
              <w:rPr>
                <w:color w:val="000000"/>
                <w:sz w:val="20"/>
                <w:szCs w:val="16"/>
              </w:rPr>
              <w:t>Average bond length between oxygen atom bonded to TM and the oxygen atom adsorbing hydrogen</w:t>
            </w:r>
          </w:p>
        </w:tc>
        <w:tc>
          <w:tcPr>
            <w:tcW w:w="894"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E</w:t>
            </w:r>
            <w:r>
              <w:rPr>
                <w:color w:val="000000"/>
                <w:sz w:val="20"/>
                <w:szCs w:val="16"/>
                <w:vertAlign w:val="subscript"/>
              </w:rPr>
              <w:t>A</w:t>
            </w:r>
          </w:p>
        </w:tc>
        <w:tc>
          <w:tcPr>
            <w:tcW w:w="2284" w:type="dxa"/>
            <w:tcBorders>
              <w:top w:val="nil"/>
              <w:bottom w:val="nil"/>
            </w:tcBorders>
            <w:shd w:val="clear" w:color="auto" w:fill="FFFFFF"/>
            <w:vAlign w:val="center"/>
          </w:tcPr>
          <w:p>
            <w:pPr>
              <w:jc w:val="center"/>
              <w:rPr>
                <w:color w:val="000000"/>
                <w:sz w:val="20"/>
                <w:szCs w:val="16"/>
              </w:rPr>
            </w:pPr>
            <w:r>
              <w:rPr>
                <w:color w:val="000000"/>
                <w:sz w:val="20"/>
                <w:szCs w:val="16"/>
              </w:rPr>
              <w:t>Electron affinity of the doping TM atom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6" w:hRule="atLeast"/>
        </w:trPr>
        <w:tc>
          <w:tcPr>
            <w:tcW w:w="1313" w:type="dxa"/>
            <w:tcBorders>
              <w:top w:val="nil"/>
              <w:bottom w:val="nil"/>
            </w:tcBorders>
            <w:shd w:val="clear" w:color="auto" w:fill="FFFFFF"/>
            <w:vAlign w:val="center"/>
          </w:tcPr>
          <w:p>
            <w:pPr>
              <w:spacing w:line="360" w:lineRule="auto"/>
              <w:jc w:val="center"/>
              <w:rPr>
                <w:color w:val="000000"/>
                <w:sz w:val="20"/>
                <w:szCs w:val="16"/>
              </w:rPr>
            </w:pPr>
            <w:r>
              <w:rPr>
                <w:color w:val="000000"/>
                <w:sz w:val="20"/>
                <w:szCs w:val="16"/>
              </w:rPr>
              <w:t>L</w:t>
            </w:r>
            <w:r>
              <w:rPr>
                <w:rFonts w:hint="eastAsia"/>
                <w:color w:val="000000"/>
                <w:sz w:val="20"/>
                <w:szCs w:val="16"/>
              </w:rPr>
              <w:t>（</w:t>
            </w:r>
            <w:r>
              <w:rPr>
                <w:color w:val="000000"/>
                <w:sz w:val="20"/>
                <w:szCs w:val="16"/>
              </w:rPr>
              <w:t>Ti-NM</w:t>
            </w:r>
            <w:r>
              <w:rPr>
                <w:rFonts w:hint="eastAsia"/>
                <w:color w:val="000000"/>
                <w:sz w:val="20"/>
                <w:szCs w:val="16"/>
              </w:rPr>
              <w:t>）</w:t>
            </w:r>
          </w:p>
        </w:tc>
        <w:tc>
          <w:tcPr>
            <w:tcW w:w="3923" w:type="dxa"/>
            <w:tcBorders>
              <w:top w:val="nil"/>
              <w:bottom w:val="nil"/>
            </w:tcBorders>
            <w:shd w:val="clear" w:color="auto" w:fill="FFFFFF"/>
            <w:vAlign w:val="center"/>
          </w:tcPr>
          <w:p>
            <w:pPr>
              <w:jc w:val="center"/>
              <w:rPr>
                <w:color w:val="000000"/>
                <w:sz w:val="20"/>
                <w:szCs w:val="16"/>
              </w:rPr>
            </w:pPr>
            <w:r>
              <w:rPr>
                <w:color w:val="000000"/>
                <w:sz w:val="20"/>
                <w:szCs w:val="16"/>
              </w:rPr>
              <w:t>Bond length between Ti atom and B/N/P</w:t>
            </w:r>
          </w:p>
        </w:tc>
        <w:tc>
          <w:tcPr>
            <w:tcW w:w="894"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χ</w:t>
            </w:r>
          </w:p>
        </w:tc>
        <w:tc>
          <w:tcPr>
            <w:tcW w:w="2284" w:type="dxa"/>
            <w:tcBorders>
              <w:top w:val="nil"/>
              <w:bottom w:val="nil"/>
            </w:tcBorders>
            <w:shd w:val="clear" w:color="auto" w:fill="FFFFFF"/>
            <w:vAlign w:val="center"/>
          </w:tcPr>
          <w:p>
            <w:pPr>
              <w:jc w:val="center"/>
              <w:rPr>
                <w:color w:val="000000"/>
                <w:sz w:val="20"/>
                <w:szCs w:val="16"/>
              </w:rPr>
            </w:pPr>
            <w:r>
              <w:rPr>
                <w:color w:val="000000"/>
                <w:sz w:val="20"/>
                <w:szCs w:val="16"/>
              </w:rPr>
              <w:t>Electronegativity of the doping TM atom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nil"/>
            </w:tcBorders>
            <w:shd w:val="clear" w:color="auto" w:fill="FFFFFF"/>
            <w:vAlign w:val="center"/>
          </w:tcPr>
          <w:p>
            <w:pPr>
              <w:spacing w:line="360" w:lineRule="auto"/>
              <w:jc w:val="center"/>
              <w:rPr>
                <w:rFonts w:eastAsiaTheme="minorEastAsia"/>
                <w:color w:val="000000"/>
                <w:sz w:val="20"/>
                <w:szCs w:val="16"/>
              </w:rPr>
            </w:pPr>
            <w:r>
              <w:rPr>
                <w:color w:val="000000"/>
                <w:sz w:val="20"/>
                <w:szCs w:val="16"/>
              </w:rPr>
              <w:t>p</w:t>
            </w:r>
            <w:r>
              <w:rPr>
                <w:color w:val="000000"/>
                <w:sz w:val="20"/>
                <w:szCs w:val="16"/>
                <w:vertAlign w:val="subscript"/>
              </w:rPr>
              <w:t>O</w:t>
            </w:r>
            <w:r>
              <w:rPr>
                <w:color w:val="000000"/>
                <w:sz w:val="20"/>
                <w:szCs w:val="16"/>
              </w:rPr>
              <w:t>, p</w:t>
            </w:r>
            <w:r>
              <w:rPr>
                <w:color w:val="000000"/>
                <w:sz w:val="20"/>
                <w:szCs w:val="16"/>
                <w:vertAlign w:val="subscript"/>
              </w:rPr>
              <w:t>B/N/P</w:t>
            </w:r>
          </w:p>
        </w:tc>
        <w:tc>
          <w:tcPr>
            <w:tcW w:w="3923"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The p-band center of the O and B/N/P</w:t>
            </w:r>
          </w:p>
        </w:tc>
        <w:tc>
          <w:tcPr>
            <w:tcW w:w="894"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r</w:t>
            </w:r>
            <w:r>
              <w:rPr>
                <w:color w:val="000000"/>
                <w:sz w:val="20"/>
                <w:szCs w:val="16"/>
                <w:vertAlign w:val="subscript"/>
              </w:rPr>
              <w:t>TM</w:t>
            </w:r>
            <w:r>
              <w:rPr>
                <w:color w:val="000000"/>
                <w:sz w:val="20"/>
                <w:szCs w:val="16"/>
              </w:rPr>
              <w:t xml:space="preserve"> r</w:t>
            </w:r>
            <w:r>
              <w:rPr>
                <w:color w:val="000000"/>
                <w:sz w:val="20"/>
                <w:szCs w:val="16"/>
                <w:vertAlign w:val="subscript"/>
              </w:rPr>
              <w:t>B/N/P</w:t>
            </w:r>
          </w:p>
        </w:tc>
        <w:tc>
          <w:tcPr>
            <w:tcW w:w="2284"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Atomic radius of the doping TM atom and B/N/P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nil"/>
            </w:tcBorders>
            <w:shd w:val="clear" w:color="auto" w:fill="FFFFFF"/>
            <w:vAlign w:val="center"/>
          </w:tcPr>
          <w:p>
            <w:pPr>
              <w:spacing w:line="360" w:lineRule="auto"/>
              <w:jc w:val="center"/>
              <w:rPr>
                <w:color w:val="000000"/>
                <w:sz w:val="20"/>
                <w:szCs w:val="16"/>
              </w:rPr>
            </w:pPr>
            <w:r>
              <w:rPr>
                <w:color w:val="000000"/>
                <w:sz w:val="20"/>
                <w:szCs w:val="16"/>
              </w:rPr>
              <w:t>d</w:t>
            </w:r>
            <w:r>
              <w:rPr>
                <w:color w:val="000000"/>
                <w:sz w:val="20"/>
                <w:szCs w:val="16"/>
                <w:vertAlign w:val="subscript"/>
              </w:rPr>
              <w:t>TM</w:t>
            </w:r>
          </w:p>
        </w:tc>
        <w:tc>
          <w:tcPr>
            <w:tcW w:w="3923"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The d-band center of the TM</w:t>
            </w:r>
          </w:p>
        </w:tc>
        <w:tc>
          <w:tcPr>
            <w:tcW w:w="894"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N</w:t>
            </w:r>
          </w:p>
        </w:tc>
        <w:tc>
          <w:tcPr>
            <w:tcW w:w="2284" w:type="dxa"/>
            <w:tcBorders>
              <w:top w:val="nil"/>
              <w:bottom w:val="nil"/>
            </w:tcBorders>
            <w:shd w:val="clear" w:color="auto" w:fill="FFFFFF"/>
            <w:vAlign w:val="center"/>
          </w:tcPr>
          <w:p>
            <w:pPr>
              <w:jc w:val="center"/>
              <w:rPr>
                <w:color w:val="000000"/>
                <w:sz w:val="20"/>
                <w:szCs w:val="16"/>
              </w:rPr>
            </w:pPr>
            <w:r>
              <w:rPr>
                <w:color w:val="000000"/>
                <w:sz w:val="20"/>
                <w:szCs w:val="16"/>
              </w:rPr>
              <w:t>Atomic number of the doping TM atom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nil"/>
            </w:tcBorders>
            <w:shd w:val="clear" w:color="auto" w:fill="FFFFFF"/>
            <w:vAlign w:val="center"/>
          </w:tcPr>
          <w:p>
            <w:pPr>
              <w:spacing w:line="360" w:lineRule="auto"/>
              <w:jc w:val="center"/>
              <w:rPr>
                <w:rFonts w:eastAsiaTheme="minorEastAsia"/>
                <w:color w:val="000000"/>
                <w:sz w:val="20"/>
                <w:szCs w:val="16"/>
              </w:rPr>
            </w:pPr>
            <w:r>
              <w:rPr>
                <w:color w:val="000000"/>
                <w:sz w:val="20"/>
                <w:szCs w:val="16"/>
              </w:rPr>
              <w:t>d</w:t>
            </w:r>
            <w:r>
              <w:rPr>
                <w:color w:val="000000"/>
                <w:sz w:val="20"/>
                <w:szCs w:val="16"/>
                <w:vertAlign w:val="subscript"/>
              </w:rPr>
              <w:t>Ti</w:t>
            </w:r>
          </w:p>
        </w:tc>
        <w:tc>
          <w:tcPr>
            <w:tcW w:w="3923" w:type="dxa"/>
            <w:tcBorders>
              <w:top w:val="nil"/>
              <w:bottom w:val="nil"/>
            </w:tcBorders>
            <w:shd w:val="clear" w:color="auto" w:fill="FFFFFF"/>
            <w:vAlign w:val="center"/>
          </w:tcPr>
          <w:p>
            <w:pPr>
              <w:jc w:val="center"/>
              <w:rPr>
                <w:color w:val="000000"/>
                <w:sz w:val="20"/>
                <w:szCs w:val="16"/>
              </w:rPr>
            </w:pPr>
            <w:r>
              <w:rPr>
                <w:color w:val="000000"/>
                <w:sz w:val="20"/>
                <w:szCs w:val="16"/>
              </w:rPr>
              <w:t>The d-band center of the Ti</w:t>
            </w:r>
          </w:p>
        </w:tc>
        <w:tc>
          <w:tcPr>
            <w:tcW w:w="894" w:type="dxa"/>
            <w:tcBorders>
              <w:top w:val="nil"/>
              <w:bottom w:val="nil"/>
            </w:tcBorders>
            <w:shd w:val="clear" w:color="auto" w:fill="FFFFFF"/>
            <w:vAlign w:val="center"/>
          </w:tcPr>
          <w:p>
            <w:pPr>
              <w:jc w:val="center"/>
              <w:rPr>
                <w:rFonts w:eastAsiaTheme="minorEastAsia"/>
                <w:color w:val="000000"/>
                <w:sz w:val="20"/>
                <w:szCs w:val="16"/>
              </w:rPr>
            </w:pPr>
          </w:p>
        </w:tc>
        <w:tc>
          <w:tcPr>
            <w:tcW w:w="2284" w:type="dxa"/>
            <w:tcBorders>
              <w:top w:val="nil"/>
              <w:bottom w:val="nil"/>
            </w:tcBorders>
            <w:shd w:val="clear" w:color="auto" w:fill="FFFFFF"/>
            <w:vAlign w:val="center"/>
          </w:tcPr>
          <w:p>
            <w:pPr>
              <w:jc w:val="center"/>
              <w:rPr>
                <w:rFonts w:eastAsiaTheme="minorEastAsia"/>
                <w:color w:val="000000"/>
                <w:sz w:val="20"/>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nil"/>
            </w:tcBorders>
            <w:shd w:val="clear" w:color="auto" w:fill="FFFFFF"/>
            <w:vAlign w:val="center"/>
          </w:tcPr>
          <w:p>
            <w:pPr>
              <w:spacing w:line="360" w:lineRule="auto"/>
              <w:jc w:val="center"/>
              <w:rPr>
                <w:color w:val="000000"/>
                <w:sz w:val="20"/>
                <w:szCs w:val="16"/>
              </w:rPr>
            </w:pPr>
            <w:r>
              <w:rPr>
                <w:color w:val="000000"/>
                <w:sz w:val="20"/>
                <w:szCs w:val="16"/>
              </w:rPr>
              <w:t>E</w:t>
            </w:r>
            <w:r>
              <w:rPr>
                <w:color w:val="000000"/>
                <w:sz w:val="20"/>
                <w:szCs w:val="16"/>
                <w:vertAlign w:val="subscript"/>
              </w:rPr>
              <w:t>F</w:t>
            </w:r>
          </w:p>
        </w:tc>
        <w:tc>
          <w:tcPr>
            <w:tcW w:w="3923" w:type="dxa"/>
            <w:tcBorders>
              <w:top w:val="nil"/>
              <w:bottom w:val="nil"/>
            </w:tcBorders>
            <w:shd w:val="clear" w:color="auto" w:fill="FFFFFF"/>
            <w:vAlign w:val="center"/>
          </w:tcPr>
          <w:p>
            <w:pPr>
              <w:jc w:val="center"/>
              <w:rPr>
                <w:color w:val="000000"/>
                <w:sz w:val="20"/>
                <w:szCs w:val="16"/>
              </w:rPr>
            </w:pPr>
            <w:r>
              <w:rPr>
                <w:color w:val="000000"/>
                <w:sz w:val="20"/>
                <w:szCs w:val="16"/>
              </w:rPr>
              <w:t>Fermi level of adsorbed hydrogen structure</w:t>
            </w:r>
          </w:p>
        </w:tc>
        <w:tc>
          <w:tcPr>
            <w:tcW w:w="894" w:type="dxa"/>
            <w:tcBorders>
              <w:top w:val="nil"/>
              <w:bottom w:val="nil"/>
            </w:tcBorders>
            <w:shd w:val="clear" w:color="auto" w:fill="FFFFFF"/>
            <w:vAlign w:val="center"/>
          </w:tcPr>
          <w:p>
            <w:pPr>
              <w:jc w:val="center"/>
              <w:rPr>
                <w:rFonts w:eastAsiaTheme="minorEastAsia"/>
                <w:color w:val="000000"/>
                <w:sz w:val="20"/>
                <w:szCs w:val="16"/>
              </w:rPr>
            </w:pPr>
          </w:p>
        </w:tc>
        <w:tc>
          <w:tcPr>
            <w:tcW w:w="2284" w:type="dxa"/>
            <w:tcBorders>
              <w:top w:val="nil"/>
              <w:bottom w:val="nil"/>
            </w:tcBorders>
            <w:shd w:val="clear" w:color="auto" w:fill="FFFFFF"/>
            <w:vAlign w:val="center"/>
          </w:tcPr>
          <w:p>
            <w:pPr>
              <w:jc w:val="center"/>
              <w:rPr>
                <w:color w:val="000000"/>
                <w:sz w:val="20"/>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nil"/>
            </w:tcBorders>
            <w:shd w:val="clear" w:color="auto" w:fill="FFFFFF"/>
            <w:vAlign w:val="center"/>
          </w:tcPr>
          <w:p>
            <w:pPr>
              <w:spacing w:line="360" w:lineRule="auto"/>
              <w:jc w:val="center"/>
              <w:rPr>
                <w:color w:val="000000"/>
                <w:sz w:val="20"/>
                <w:szCs w:val="16"/>
              </w:rPr>
            </w:pPr>
            <w:r>
              <w:rPr>
                <w:color w:val="000000"/>
                <w:sz w:val="20"/>
                <w:szCs w:val="16"/>
              </w:rPr>
              <w:t>q</w:t>
            </w:r>
            <w:r>
              <w:rPr>
                <w:color w:val="000000"/>
                <w:sz w:val="20"/>
                <w:szCs w:val="16"/>
                <w:vertAlign w:val="subscript"/>
              </w:rPr>
              <w:t>B/N/P</w:t>
            </w:r>
            <w:r>
              <w:rPr>
                <w:color w:val="000000"/>
                <w:sz w:val="20"/>
                <w:szCs w:val="16"/>
              </w:rPr>
              <w:t>, q</w:t>
            </w:r>
            <w:r>
              <w:rPr>
                <w:color w:val="000000"/>
                <w:sz w:val="20"/>
                <w:szCs w:val="16"/>
                <w:vertAlign w:val="subscript"/>
              </w:rPr>
              <w:t>O</w:t>
            </w:r>
            <w:r>
              <w:rPr>
                <w:color w:val="000000"/>
                <w:sz w:val="20"/>
                <w:szCs w:val="16"/>
              </w:rPr>
              <w:t>, q</w:t>
            </w:r>
            <w:r>
              <w:rPr>
                <w:color w:val="000000"/>
                <w:sz w:val="20"/>
                <w:szCs w:val="16"/>
                <w:vertAlign w:val="subscript"/>
              </w:rPr>
              <w:t>H</w:t>
            </w:r>
            <w:r>
              <w:rPr>
                <w:color w:val="000000"/>
                <w:sz w:val="20"/>
                <w:szCs w:val="16"/>
              </w:rPr>
              <w:t>, q</w:t>
            </w:r>
            <w:r>
              <w:rPr>
                <w:color w:val="000000"/>
                <w:sz w:val="20"/>
                <w:szCs w:val="16"/>
                <w:vertAlign w:val="subscript"/>
              </w:rPr>
              <w:t>TM</w:t>
            </w:r>
          </w:p>
        </w:tc>
        <w:tc>
          <w:tcPr>
            <w:tcW w:w="3923" w:type="dxa"/>
            <w:tcBorders>
              <w:top w:val="nil"/>
              <w:bottom w:val="nil"/>
            </w:tcBorders>
            <w:shd w:val="clear" w:color="auto" w:fill="FFFFFF"/>
            <w:vAlign w:val="center"/>
          </w:tcPr>
          <w:p>
            <w:pPr>
              <w:jc w:val="center"/>
              <w:rPr>
                <w:rFonts w:eastAsiaTheme="minorEastAsia"/>
                <w:color w:val="000000"/>
                <w:sz w:val="20"/>
                <w:szCs w:val="16"/>
              </w:rPr>
            </w:pPr>
            <w:r>
              <w:rPr>
                <w:color w:val="000000"/>
                <w:sz w:val="20"/>
                <w:szCs w:val="16"/>
              </w:rPr>
              <w:t>Bader charge transfer of B/N/P, O, H and TM</w:t>
            </w:r>
          </w:p>
        </w:tc>
        <w:tc>
          <w:tcPr>
            <w:tcW w:w="894" w:type="dxa"/>
            <w:tcBorders>
              <w:top w:val="nil"/>
              <w:bottom w:val="nil"/>
            </w:tcBorders>
            <w:shd w:val="clear" w:color="auto" w:fill="FFFFFF"/>
            <w:vAlign w:val="center"/>
          </w:tcPr>
          <w:p>
            <w:pPr>
              <w:jc w:val="center"/>
              <w:rPr>
                <w:color w:val="000000"/>
                <w:sz w:val="20"/>
                <w:szCs w:val="16"/>
              </w:rPr>
            </w:pPr>
          </w:p>
        </w:tc>
        <w:tc>
          <w:tcPr>
            <w:tcW w:w="2284" w:type="dxa"/>
            <w:tcBorders>
              <w:top w:val="nil"/>
              <w:bottom w:val="nil"/>
            </w:tcBorders>
            <w:shd w:val="clear" w:color="auto" w:fill="FFFFFF"/>
            <w:vAlign w:val="center"/>
          </w:tcPr>
          <w:p>
            <w:pPr>
              <w:jc w:val="center"/>
              <w:rPr>
                <w:color w:val="000000"/>
                <w:sz w:val="20"/>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nil"/>
            </w:tcBorders>
            <w:shd w:val="clear" w:color="auto" w:fill="FFFFFF"/>
            <w:vAlign w:val="center"/>
          </w:tcPr>
          <w:p>
            <w:pPr>
              <w:spacing w:line="360" w:lineRule="auto"/>
              <w:jc w:val="center"/>
              <w:rPr>
                <w:color w:val="000000"/>
                <w:sz w:val="20"/>
                <w:szCs w:val="16"/>
              </w:rPr>
            </w:pPr>
            <w:r>
              <w:rPr>
                <w:color w:val="000000"/>
                <w:sz w:val="20"/>
                <w:szCs w:val="16"/>
              </w:rPr>
              <w:t>q</w:t>
            </w:r>
            <w:r>
              <w:rPr>
                <w:color w:val="000000"/>
                <w:sz w:val="20"/>
                <w:szCs w:val="16"/>
                <w:vertAlign w:val="subscript"/>
              </w:rPr>
              <w:t>O-TM</w:t>
            </w:r>
          </w:p>
        </w:tc>
        <w:tc>
          <w:tcPr>
            <w:tcW w:w="3923" w:type="dxa"/>
            <w:tcBorders>
              <w:top w:val="nil"/>
              <w:bottom w:val="nil"/>
            </w:tcBorders>
            <w:shd w:val="clear" w:color="auto" w:fill="FFFFFF"/>
            <w:vAlign w:val="center"/>
          </w:tcPr>
          <w:p>
            <w:pPr>
              <w:jc w:val="center"/>
              <w:rPr>
                <w:color w:val="000000"/>
                <w:sz w:val="20"/>
                <w:szCs w:val="16"/>
              </w:rPr>
            </w:pPr>
            <w:r>
              <w:rPr>
                <w:color w:val="000000"/>
                <w:sz w:val="20"/>
                <w:szCs w:val="16"/>
              </w:rPr>
              <w:t>The average bader charge transfer of O connected to the TM</w:t>
            </w:r>
          </w:p>
        </w:tc>
        <w:tc>
          <w:tcPr>
            <w:tcW w:w="894" w:type="dxa"/>
            <w:tcBorders>
              <w:top w:val="nil"/>
              <w:bottom w:val="nil"/>
            </w:tcBorders>
            <w:shd w:val="clear" w:color="auto" w:fill="FFFFFF"/>
            <w:vAlign w:val="center"/>
          </w:tcPr>
          <w:p>
            <w:pPr>
              <w:jc w:val="center"/>
              <w:rPr>
                <w:color w:val="000000"/>
                <w:sz w:val="20"/>
                <w:szCs w:val="16"/>
              </w:rPr>
            </w:pPr>
          </w:p>
        </w:tc>
        <w:tc>
          <w:tcPr>
            <w:tcW w:w="2284" w:type="dxa"/>
            <w:tcBorders>
              <w:top w:val="nil"/>
              <w:bottom w:val="nil"/>
            </w:tcBorders>
            <w:shd w:val="clear" w:color="auto" w:fill="FFFFFF"/>
            <w:vAlign w:val="center"/>
          </w:tcPr>
          <w:p>
            <w:pPr>
              <w:jc w:val="center"/>
              <w:rPr>
                <w:color w:val="000000"/>
                <w:sz w:val="20"/>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nil"/>
              <w:bottom w:val="single" w:color="000000" w:sz="12" w:space="0"/>
            </w:tcBorders>
            <w:shd w:val="clear" w:color="auto" w:fill="FFFFFF"/>
            <w:vAlign w:val="center"/>
          </w:tcPr>
          <w:p>
            <w:pPr>
              <w:spacing w:line="360" w:lineRule="auto"/>
              <w:jc w:val="center"/>
              <w:rPr>
                <w:color w:val="000000"/>
                <w:sz w:val="20"/>
                <w:szCs w:val="16"/>
              </w:rPr>
            </w:pPr>
            <w:r>
              <w:rPr>
                <w:color w:val="000000"/>
                <w:sz w:val="20"/>
                <w:szCs w:val="16"/>
              </w:rPr>
              <w:t>q</w:t>
            </w:r>
            <w:r>
              <w:rPr>
                <w:color w:val="000000"/>
                <w:sz w:val="20"/>
                <w:szCs w:val="16"/>
                <w:vertAlign w:val="subscript"/>
              </w:rPr>
              <w:t>Ti</w:t>
            </w:r>
          </w:p>
        </w:tc>
        <w:tc>
          <w:tcPr>
            <w:tcW w:w="3923" w:type="dxa"/>
            <w:tcBorders>
              <w:top w:val="nil"/>
              <w:bottom w:val="single" w:color="000000" w:sz="12" w:space="0"/>
            </w:tcBorders>
            <w:shd w:val="clear" w:color="auto" w:fill="FFFFFF"/>
            <w:vAlign w:val="center"/>
          </w:tcPr>
          <w:p>
            <w:pPr>
              <w:jc w:val="center"/>
              <w:rPr>
                <w:color w:val="000000"/>
                <w:sz w:val="20"/>
                <w:szCs w:val="16"/>
              </w:rPr>
            </w:pPr>
            <w:r>
              <w:rPr>
                <w:color w:val="000000"/>
                <w:sz w:val="20"/>
                <w:szCs w:val="16"/>
              </w:rPr>
              <w:t>Bader charge transfer of Ti closest to the TM</w:t>
            </w:r>
          </w:p>
        </w:tc>
        <w:tc>
          <w:tcPr>
            <w:tcW w:w="894" w:type="dxa"/>
            <w:tcBorders>
              <w:top w:val="nil"/>
              <w:bottom w:val="single" w:color="000000" w:sz="12" w:space="0"/>
            </w:tcBorders>
            <w:shd w:val="clear" w:color="auto" w:fill="FFFFFF"/>
            <w:vAlign w:val="center"/>
          </w:tcPr>
          <w:p>
            <w:pPr>
              <w:jc w:val="center"/>
              <w:rPr>
                <w:color w:val="000000"/>
                <w:sz w:val="20"/>
                <w:szCs w:val="16"/>
              </w:rPr>
            </w:pPr>
          </w:p>
        </w:tc>
        <w:tc>
          <w:tcPr>
            <w:tcW w:w="2284" w:type="dxa"/>
            <w:tcBorders>
              <w:top w:val="nil"/>
              <w:bottom w:val="single" w:color="000000" w:sz="12" w:space="0"/>
            </w:tcBorders>
            <w:shd w:val="clear" w:color="auto" w:fill="FFFFFF"/>
            <w:vAlign w:val="center"/>
          </w:tcPr>
          <w:p>
            <w:pPr>
              <w:jc w:val="center"/>
              <w:rPr>
                <w:color w:val="000000"/>
                <w:sz w:val="20"/>
                <w:szCs w:val="16"/>
              </w:rPr>
            </w:pPr>
          </w:p>
        </w:tc>
      </w:tr>
    </w:tbl>
    <w:p>
      <w:pPr>
        <w:spacing w:line="360" w:lineRule="auto"/>
        <w:rPr>
          <w:color w:val="000000"/>
          <w:kern w:val="0"/>
          <w:sz w:val="24"/>
          <w:szCs w:val="24"/>
          <w:lang w:bidi="ar"/>
        </w:rPr>
      </w:pPr>
    </w:p>
    <w:p>
      <w:pPr>
        <w:adjustRightInd w:val="0"/>
        <w:snapToGrid w:val="0"/>
        <w:spacing w:line="360" w:lineRule="auto"/>
        <w:ind w:firstLine="480" w:firstLineChars="200"/>
        <w:rPr>
          <w:color w:val="000000"/>
          <w:sz w:val="24"/>
          <w:szCs w:val="24"/>
        </w:rPr>
      </w:pPr>
      <w:r>
        <w:rPr>
          <w:sz w:val="24"/>
          <w:szCs w:val="24"/>
        </w:rPr>
        <w:t>在计算了掺入B和N元素的催化材料后，有56个材料且特征量为23个的数据集，为了加速氢能关键催化材料的筛选过程，去除冗余的特征是必不可少的一步，因此为了了解各个特征之间的相关性作了皮尔逊相关系数（PCC）图，如图</w:t>
      </w:r>
      <w:r>
        <w:rPr>
          <w:rFonts w:hint="eastAsia"/>
          <w:sz w:val="24"/>
          <w:szCs w:val="24"/>
        </w:rPr>
        <w:t>18</w:t>
      </w:r>
      <w:r>
        <w:rPr>
          <w:sz w:val="24"/>
          <w:szCs w:val="24"/>
        </w:rPr>
        <w:t>a所示。当|PCC| &gt;0.8时，说明两者存在较强的相关性</w:t>
      </w:r>
      <w:r>
        <w:rPr>
          <w:sz w:val="24"/>
          <w:szCs w:val="24"/>
        </w:rPr>
        <w:fldChar w:fldCharType="begin"/>
      </w:r>
      <w:r>
        <w:rPr>
          <w:sz w:val="24"/>
          <w:szCs w:val="24"/>
        </w:rPr>
        <w:instrText xml:space="preserve"> ADDIN EN.CITE &lt;EndNote&gt;&lt;Cite&gt;&lt;Author&gt;Goltl&lt;/Author&gt;&lt;Year&gt;2017&lt;/Year&gt;&lt;RecNum&gt;760&lt;/RecNum&gt;&lt;DisplayText&gt;&lt;style face="superscript"&gt;14&lt;/style&gt;&lt;/DisplayText&gt;&lt;record&gt;&lt;rec-number&gt;760&lt;/rec-number&gt;&lt;foreign-keys&gt;&lt;key app="EN" db-id="5rrvsre999902pep9fb5vzfmxtx2s0vssz29" timestamp="1698387048"&gt;760&lt;/key&gt;&lt;/foreign-keys&gt;&lt;ref-type name="Journal Article"&gt;17&lt;/ref-type&gt;&lt;contributors&gt;&lt;authors&gt;&lt;author&gt;Goltl, Florian&lt;/author&gt;&lt;author&gt;Müller, Philipp&lt;/author&gt;&lt;author&gt;Uchupalanun, Pajean&lt;/author&gt;&lt;author&gt;Sautet, Philippe&lt;/author&gt;&lt;author&gt;Hermans, Ive %J Chemistry of Materials&lt;/author&gt;&lt;/authors&gt;&lt;/contributors&gt;&lt;titles&gt;&lt;title&gt;Developing a descriptor-based approach for CO and NO adsorption strength to transition metal sites in zeolites&lt;/title&gt;&lt;/titles&gt;&lt;pages&gt;6434-6444&lt;/pages&gt;&lt;volume&gt;29&lt;/volume&gt;&lt;number&gt;15&lt;/number&gt;&lt;dates&gt;&lt;year&gt;2017&lt;/year&gt;&lt;/dates&gt;&lt;isbn&gt;0897-4756&lt;/isbn&gt;&lt;urls&gt;&lt;/urls&gt;&lt;/record&gt;&lt;/Cite&gt;&lt;/EndNote&gt;</w:instrText>
      </w:r>
      <w:r>
        <w:rPr>
          <w:sz w:val="24"/>
          <w:szCs w:val="24"/>
        </w:rPr>
        <w:fldChar w:fldCharType="separate"/>
      </w:r>
      <w:r>
        <w:rPr>
          <w:sz w:val="24"/>
          <w:szCs w:val="24"/>
          <w:vertAlign w:val="superscript"/>
        </w:rPr>
        <w:t>14</w:t>
      </w:r>
      <w:r>
        <w:rPr>
          <w:sz w:val="24"/>
          <w:szCs w:val="24"/>
        </w:rPr>
        <w:fldChar w:fldCharType="end"/>
      </w:r>
      <w:r>
        <w:rPr>
          <w:sz w:val="24"/>
          <w:szCs w:val="24"/>
        </w:rPr>
        <w:t>，例如：PCC</w:t>
      </w:r>
      <w:r>
        <w:rPr>
          <w:sz w:val="24"/>
          <w:szCs w:val="24"/>
          <w:vertAlign w:val="subscript"/>
        </w:rPr>
        <w:t>qB/N/P-L</w:t>
      </w:r>
      <w:r>
        <w:rPr>
          <w:rFonts w:hint="eastAsia"/>
          <w:sz w:val="24"/>
          <w:szCs w:val="24"/>
          <w:vertAlign w:val="subscript"/>
        </w:rPr>
        <w:t>（</w:t>
      </w:r>
      <w:r>
        <w:rPr>
          <w:sz w:val="24"/>
          <w:szCs w:val="24"/>
          <w:vertAlign w:val="subscript"/>
        </w:rPr>
        <w:t>Ti-NM</w:t>
      </w:r>
      <w:r>
        <w:rPr>
          <w:rFonts w:hint="eastAsia"/>
          <w:sz w:val="24"/>
          <w:szCs w:val="24"/>
          <w:vertAlign w:val="subscript"/>
        </w:rPr>
        <w:t>）</w:t>
      </w:r>
      <w:r>
        <w:rPr>
          <w:sz w:val="24"/>
          <w:szCs w:val="24"/>
        </w:rPr>
        <w:t>，PCC</w:t>
      </w:r>
      <w:r>
        <w:rPr>
          <w:sz w:val="24"/>
          <w:szCs w:val="24"/>
          <w:vertAlign w:val="subscript"/>
        </w:rPr>
        <w:t>rB/N/P-L</w:t>
      </w:r>
      <w:r>
        <w:rPr>
          <w:rFonts w:hint="eastAsia"/>
          <w:sz w:val="24"/>
          <w:szCs w:val="24"/>
          <w:vertAlign w:val="subscript"/>
        </w:rPr>
        <w:t>（</w:t>
      </w:r>
      <w:r>
        <w:rPr>
          <w:sz w:val="24"/>
          <w:szCs w:val="24"/>
          <w:vertAlign w:val="subscript"/>
        </w:rPr>
        <w:t>Ti-NM</w:t>
      </w:r>
      <w:r>
        <w:rPr>
          <w:rFonts w:hint="eastAsia"/>
          <w:sz w:val="24"/>
          <w:szCs w:val="24"/>
          <w:vertAlign w:val="subscript"/>
        </w:rPr>
        <w:t>）</w:t>
      </w:r>
      <w:r>
        <w:rPr>
          <w:sz w:val="24"/>
          <w:szCs w:val="24"/>
        </w:rPr>
        <w:t>，PCC</w:t>
      </w:r>
      <w:r>
        <w:rPr>
          <w:sz w:val="24"/>
          <w:szCs w:val="24"/>
          <w:vertAlign w:val="subscript"/>
        </w:rPr>
        <w:t>rB/N/P-qB/N/P</w:t>
      </w:r>
      <w:r>
        <w:rPr>
          <w:sz w:val="24"/>
          <w:szCs w:val="24"/>
        </w:rPr>
        <w:t>，PCC</w:t>
      </w:r>
      <w:r>
        <w:rPr>
          <w:sz w:val="24"/>
          <w:szCs w:val="24"/>
          <w:vertAlign w:val="subscript"/>
        </w:rPr>
        <w:t>qB/N/P-L</w:t>
      </w:r>
      <w:r>
        <w:rPr>
          <w:rFonts w:hint="eastAsia"/>
          <w:sz w:val="24"/>
          <w:szCs w:val="24"/>
          <w:vertAlign w:val="subscript"/>
        </w:rPr>
        <w:t>（</w:t>
      </w:r>
      <w:r>
        <w:rPr>
          <w:sz w:val="24"/>
          <w:szCs w:val="24"/>
          <w:vertAlign w:val="subscript"/>
        </w:rPr>
        <w:t>O-OH</w:t>
      </w:r>
      <w:r>
        <w:rPr>
          <w:rFonts w:hint="eastAsia"/>
          <w:sz w:val="24"/>
          <w:szCs w:val="24"/>
          <w:vertAlign w:val="subscript"/>
        </w:rPr>
        <w:t>）</w:t>
      </w:r>
      <w:r>
        <w:rPr>
          <w:sz w:val="24"/>
          <w:szCs w:val="24"/>
        </w:rPr>
        <w:t>，PCC</w:t>
      </w:r>
      <w:r>
        <w:rPr>
          <w:sz w:val="24"/>
          <w:szCs w:val="24"/>
          <w:vertAlign w:val="subscript"/>
        </w:rPr>
        <w:t>rB/N/P-L</w:t>
      </w:r>
      <w:r>
        <w:rPr>
          <w:rFonts w:hint="eastAsia"/>
          <w:sz w:val="24"/>
          <w:szCs w:val="24"/>
          <w:vertAlign w:val="subscript"/>
        </w:rPr>
        <w:t>（</w:t>
      </w:r>
      <w:r>
        <w:rPr>
          <w:sz w:val="24"/>
          <w:szCs w:val="24"/>
          <w:vertAlign w:val="subscript"/>
        </w:rPr>
        <w:t>O-OH</w:t>
      </w:r>
      <w:r>
        <w:rPr>
          <w:rFonts w:hint="eastAsia"/>
          <w:sz w:val="24"/>
          <w:szCs w:val="24"/>
          <w:vertAlign w:val="subscript"/>
        </w:rPr>
        <w:t>）</w:t>
      </w:r>
      <w:r>
        <w:rPr>
          <w:sz w:val="24"/>
          <w:szCs w:val="24"/>
        </w:rPr>
        <w:t>，PCC</w:t>
      </w:r>
      <w:r>
        <w:rPr>
          <w:sz w:val="24"/>
          <w:szCs w:val="24"/>
          <w:vertAlign w:val="subscript"/>
        </w:rPr>
        <w:t>nTM-EF</w:t>
      </w:r>
      <w:r>
        <w:rPr>
          <w:sz w:val="24"/>
          <w:szCs w:val="24"/>
        </w:rPr>
        <w:t>，PCC</w:t>
      </w:r>
      <w:r>
        <w:rPr>
          <w:sz w:val="24"/>
          <w:szCs w:val="24"/>
          <w:vertAlign w:val="subscript"/>
        </w:rPr>
        <w:t>χ-qO-TM</w:t>
      </w:r>
      <w:r>
        <w:rPr>
          <w:sz w:val="24"/>
          <w:szCs w:val="24"/>
        </w:rPr>
        <w:t>和PCC</w:t>
      </w:r>
      <w:r>
        <w:rPr>
          <w:sz w:val="24"/>
          <w:szCs w:val="24"/>
          <w:vertAlign w:val="subscript"/>
        </w:rPr>
        <w:t>nTM-Ei</w:t>
      </w:r>
      <w:r>
        <w:rPr>
          <w:sz w:val="24"/>
          <w:szCs w:val="24"/>
        </w:rPr>
        <w:t>，代表着在一定情况下这些特征可以相互替代，同样从图</w:t>
      </w:r>
      <w:r>
        <w:rPr>
          <w:rFonts w:hint="eastAsia"/>
          <w:sz w:val="24"/>
          <w:szCs w:val="24"/>
        </w:rPr>
        <w:t>18</w:t>
      </w:r>
      <w:r>
        <w:rPr>
          <w:sz w:val="24"/>
          <w:szCs w:val="24"/>
        </w:rPr>
        <w:t>b中看出相关性强的两个特征的数据分布也是相似的。图</w:t>
      </w:r>
      <w:r>
        <w:rPr>
          <w:rFonts w:hint="eastAsia"/>
          <w:sz w:val="24"/>
          <w:szCs w:val="24"/>
        </w:rPr>
        <w:t>18</w:t>
      </w:r>
      <w:r>
        <w:rPr>
          <w:sz w:val="24"/>
          <w:szCs w:val="24"/>
        </w:rPr>
        <w:t>c是对这23个特征进行了归一化的重要性排序（XGBoost算法），并且加入了时间因子</w:t>
      </w:r>
      <w:r>
        <w:rPr>
          <w:position w:val="-24"/>
          <w:sz w:val="24"/>
          <w:szCs w:val="24"/>
        </w:rPr>
        <w:object>
          <v:shape id="_x0000_i1025" o:spt="75" type="#_x0000_t75" style="height:31pt;width:64pt;" o:ole="t" filled="f" o:preferrelative="t" stroked="f" coordsize="21600,21600">
            <v:path/>
            <v:fill on="f" focussize="0,0"/>
            <v:stroke on="f" joinstyle="miter"/>
            <v:imagedata r:id="rId24" o:title=""/>
            <o:lock v:ext="edit" aspectratio="t"/>
            <w10:wrap type="none"/>
            <w10:anchorlock/>
          </v:shape>
          <o:OLEObject Type="Embed" ProgID="Equation.KSEE3" ShapeID="_x0000_i1025" DrawAspect="Content" ObjectID="_1468075725" r:id="rId23">
            <o:LockedField>false</o:LockedField>
          </o:OLEObject>
        </w:object>
      </w:r>
      <w:r>
        <w:rPr>
          <w:sz w:val="24"/>
          <w:szCs w:val="24"/>
        </w:rPr>
        <w:t>，其中N为该特征所需DFT计算的次数，并对前十个的特征进行了标注。为了进行特征降维，综合考虑特征的相关性以及排序，r</w:t>
      </w:r>
      <w:r>
        <w:rPr>
          <w:sz w:val="24"/>
          <w:szCs w:val="24"/>
          <w:vertAlign w:val="subscript"/>
        </w:rPr>
        <w:t>B/N/P</w:t>
      </w:r>
      <w:r>
        <w:rPr>
          <w:sz w:val="24"/>
          <w:szCs w:val="24"/>
        </w:rPr>
        <w:t>和L</w:t>
      </w:r>
      <w:r>
        <w:rPr>
          <w:rFonts w:hint="eastAsia"/>
          <w:sz w:val="24"/>
          <w:szCs w:val="24"/>
        </w:rPr>
        <w:t>（</w:t>
      </w:r>
      <w:r>
        <w:rPr>
          <w:sz w:val="24"/>
          <w:szCs w:val="24"/>
        </w:rPr>
        <w:t>Ti-NM</w:t>
      </w:r>
      <w:r>
        <w:rPr>
          <w:rFonts w:hint="eastAsia"/>
          <w:sz w:val="24"/>
          <w:szCs w:val="24"/>
        </w:rPr>
        <w:t>）</w:t>
      </w:r>
      <w:r>
        <w:rPr>
          <w:sz w:val="24"/>
          <w:szCs w:val="24"/>
        </w:rPr>
        <w:t>具有很强的正相关性（PCC=0.92），而L</w:t>
      </w:r>
      <w:r>
        <w:rPr>
          <w:rFonts w:hint="eastAsia"/>
          <w:sz w:val="24"/>
          <w:szCs w:val="24"/>
        </w:rPr>
        <w:t>（</w:t>
      </w:r>
      <w:r>
        <w:rPr>
          <w:sz w:val="24"/>
          <w:szCs w:val="24"/>
        </w:rPr>
        <w:t>Ti-NM</w:t>
      </w:r>
      <w:r>
        <w:rPr>
          <w:rFonts w:hint="eastAsia"/>
          <w:sz w:val="24"/>
          <w:szCs w:val="24"/>
        </w:rPr>
        <w:t>）</w:t>
      </w:r>
      <w:r>
        <w:rPr>
          <w:sz w:val="24"/>
          <w:szCs w:val="24"/>
        </w:rPr>
        <w:t>则需要进行一次DFT计算，为了加速整个筛选过程，仅保留r</w:t>
      </w:r>
      <w:r>
        <w:rPr>
          <w:sz w:val="24"/>
          <w:szCs w:val="24"/>
          <w:vertAlign w:val="subscript"/>
        </w:rPr>
        <w:t>B/N/P</w:t>
      </w:r>
      <w:r>
        <w:rPr>
          <w:sz w:val="24"/>
          <w:szCs w:val="24"/>
        </w:rPr>
        <w:t>即可。通过这种方式我们确定了在前十的范围内的6个元素自有特征，这些特征分别是</w:t>
      </w:r>
      <w:r>
        <w:rPr>
          <w:color w:val="000000"/>
          <w:sz w:val="24"/>
          <w:szCs w:val="24"/>
        </w:rPr>
        <w:t>n</w:t>
      </w:r>
      <w:r>
        <w:rPr>
          <w:color w:val="000000"/>
          <w:sz w:val="24"/>
          <w:szCs w:val="24"/>
          <w:vertAlign w:val="subscript"/>
        </w:rPr>
        <w:t>TM</w:t>
      </w:r>
      <w:r>
        <w:rPr>
          <w:rFonts w:hint="eastAsia"/>
          <w:color w:val="000000"/>
          <w:sz w:val="24"/>
          <w:szCs w:val="24"/>
        </w:rPr>
        <w:t>、</w:t>
      </w:r>
      <w:r>
        <w:rPr>
          <w:color w:val="000000"/>
          <w:sz w:val="24"/>
          <w:szCs w:val="24"/>
        </w:rPr>
        <w:t>E</w:t>
      </w:r>
      <w:r>
        <w:rPr>
          <w:color w:val="000000"/>
          <w:sz w:val="24"/>
          <w:szCs w:val="24"/>
          <w:vertAlign w:val="subscript"/>
        </w:rPr>
        <w:t>i</w:t>
      </w:r>
      <w:r>
        <w:rPr>
          <w:rFonts w:hint="eastAsia"/>
          <w:color w:val="000000"/>
          <w:sz w:val="24"/>
          <w:szCs w:val="24"/>
        </w:rPr>
        <w:t>、</w:t>
      </w:r>
      <w:r>
        <w:rPr>
          <w:color w:val="000000"/>
          <w:sz w:val="24"/>
          <w:szCs w:val="24"/>
        </w:rPr>
        <w:t>E</w:t>
      </w:r>
      <w:r>
        <w:rPr>
          <w:color w:val="000000"/>
          <w:sz w:val="24"/>
          <w:szCs w:val="24"/>
          <w:vertAlign w:val="subscript"/>
        </w:rPr>
        <w:t>A</w:t>
      </w:r>
      <w:r>
        <w:rPr>
          <w:rFonts w:hint="eastAsia"/>
          <w:color w:val="000000"/>
          <w:sz w:val="24"/>
          <w:szCs w:val="24"/>
        </w:rPr>
        <w:t>、</w:t>
      </w:r>
      <w:r>
        <w:rPr>
          <w:color w:val="000000"/>
          <w:sz w:val="24"/>
          <w:szCs w:val="24"/>
        </w:rPr>
        <w:t>χ</w:t>
      </w:r>
      <w:r>
        <w:rPr>
          <w:rFonts w:hint="eastAsia"/>
          <w:color w:val="000000"/>
          <w:sz w:val="24"/>
          <w:szCs w:val="24"/>
        </w:rPr>
        <w:t>、</w:t>
      </w:r>
      <w:r>
        <w:rPr>
          <w:color w:val="000000"/>
          <w:sz w:val="24"/>
          <w:szCs w:val="24"/>
        </w:rPr>
        <w:t>r</w:t>
      </w:r>
      <w:r>
        <w:rPr>
          <w:color w:val="000000"/>
          <w:sz w:val="24"/>
          <w:szCs w:val="24"/>
          <w:vertAlign w:val="subscript"/>
        </w:rPr>
        <w:t>TM</w:t>
      </w:r>
      <w:r>
        <w:rPr>
          <w:color w:val="000000"/>
          <w:sz w:val="24"/>
          <w:szCs w:val="24"/>
        </w:rPr>
        <w:t>和N，最终保留了7个特征作为接下来机器学习训练的数据集特征。</w:t>
      </w:r>
    </w:p>
    <w:p>
      <w:pPr>
        <w:adjustRightInd w:val="0"/>
        <w:snapToGrid w:val="0"/>
        <w:spacing w:line="360" w:lineRule="auto"/>
        <w:ind w:firstLine="480" w:firstLineChars="200"/>
        <w:rPr>
          <w:color w:val="000000"/>
          <w:sz w:val="24"/>
          <w:szCs w:val="24"/>
        </w:rPr>
      </w:pPr>
    </w:p>
    <w:p>
      <w:pPr>
        <w:spacing w:line="360" w:lineRule="auto"/>
        <w:jc w:val="center"/>
        <w:rPr>
          <w:color w:val="000000"/>
          <w:kern w:val="0"/>
          <w:sz w:val="24"/>
          <w:szCs w:val="24"/>
          <w:lang w:bidi="ar"/>
        </w:rPr>
      </w:pPr>
      <w:r>
        <w:drawing>
          <wp:inline distT="0" distB="0" distL="114300" distR="114300">
            <wp:extent cx="5271135" cy="2292350"/>
            <wp:effectExtent l="0" t="0" r="5715"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5"/>
                    <a:stretch>
                      <a:fillRect/>
                    </a:stretch>
                  </pic:blipFill>
                  <pic:spPr>
                    <a:xfrm>
                      <a:off x="0" y="0"/>
                      <a:ext cx="5271135" cy="2292350"/>
                    </a:xfrm>
                    <a:prstGeom prst="rect">
                      <a:avLst/>
                    </a:prstGeom>
                    <a:noFill/>
                    <a:ln>
                      <a:noFill/>
                    </a:ln>
                  </pic:spPr>
                </pic:pic>
              </a:graphicData>
            </a:graphic>
          </wp:inline>
        </w:drawing>
      </w:r>
    </w:p>
    <w:p>
      <w:pPr>
        <w:pStyle w:val="5"/>
        <w:spacing w:line="360" w:lineRule="auto"/>
        <w:ind w:firstLine="480"/>
        <w:jc w:val="center"/>
        <w:rPr>
          <w:rFonts w:ascii="Times New Roman" w:hAnsi="Times New Roman" w:eastAsia="宋体"/>
          <w:sz w:val="21"/>
          <w:szCs w:val="21"/>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18</w:t>
      </w:r>
      <w:r>
        <w:rPr>
          <w:rFonts w:ascii="Times New Roman" w:hAnsi="Times New Roman" w:eastAsia="宋体"/>
          <w:sz w:val="21"/>
          <w:szCs w:val="21"/>
        </w:rPr>
        <w:fldChar w:fldCharType="end"/>
      </w:r>
      <w:bookmarkStart w:id="97" w:name="_Toc14008"/>
      <w:r>
        <w:rPr>
          <w:rFonts w:ascii="Times New Roman" w:hAnsi="Times New Roman" w:eastAsia="宋体"/>
          <w:sz w:val="21"/>
          <w:szCs w:val="21"/>
        </w:rPr>
        <w:t>相关性及特征重要性排序</w:t>
      </w:r>
      <w:bookmarkEnd w:id="97"/>
    </w:p>
    <w:p/>
    <w:p>
      <w:pPr>
        <w:pStyle w:val="4"/>
      </w:pPr>
      <w:bookmarkStart w:id="98" w:name="_Toc30608"/>
      <w:r>
        <w:rPr>
          <w:rFonts w:hint="eastAsia"/>
        </w:rPr>
        <w:t>2.3.2 机器学习模型训练</w:t>
      </w:r>
      <w:bookmarkEnd w:id="98"/>
    </w:p>
    <w:p>
      <w:pPr>
        <w:adjustRightInd w:val="0"/>
        <w:snapToGrid w:val="0"/>
        <w:spacing w:line="360" w:lineRule="auto"/>
        <w:ind w:firstLine="480" w:firstLineChars="200"/>
        <w:rPr>
          <w:sz w:val="24"/>
          <w:szCs w:val="24"/>
        </w:rPr>
      </w:pPr>
      <w:r>
        <w:rPr>
          <w:sz w:val="24"/>
          <w:szCs w:val="24"/>
        </w:rPr>
        <w:t>对于HER催化材料来说，吸附能是衡量材料催化性能的指标之一。为了尽可能全面地预测具有良好HER性能的TM-S-TiVCO</w:t>
      </w:r>
      <w:r>
        <w:rPr>
          <w:sz w:val="24"/>
          <w:szCs w:val="24"/>
          <w:vertAlign w:val="subscript"/>
        </w:rPr>
        <w:t>2</w:t>
      </w:r>
      <w:r>
        <w:rPr>
          <w:sz w:val="24"/>
          <w:szCs w:val="24"/>
        </w:rPr>
        <w:t>材料，我们将在-0.3~0.3</w:t>
      </w:r>
      <w:r>
        <w:rPr>
          <w:rFonts w:hint="eastAsia"/>
          <w:sz w:val="24"/>
          <w:szCs w:val="24"/>
        </w:rPr>
        <w:t xml:space="preserve"> eV</w:t>
      </w:r>
      <w:r>
        <w:rPr>
          <w:sz w:val="24"/>
          <w:szCs w:val="24"/>
        </w:rPr>
        <w:t>范围内预测∆G</w:t>
      </w:r>
      <w:r>
        <w:rPr>
          <w:sz w:val="24"/>
          <w:szCs w:val="24"/>
          <w:vertAlign w:val="subscript"/>
        </w:rPr>
        <w:t>H</w:t>
      </w:r>
      <w:r>
        <w:rPr>
          <w:sz w:val="24"/>
          <w:szCs w:val="24"/>
        </w:rPr>
        <w:t>的材料。我们将DFT计算的78种TM-B-TiVCO</w:t>
      </w:r>
      <w:r>
        <w:rPr>
          <w:sz w:val="24"/>
          <w:szCs w:val="24"/>
          <w:vertAlign w:val="subscript"/>
        </w:rPr>
        <w:t>2</w:t>
      </w:r>
      <w:r>
        <w:rPr>
          <w:sz w:val="24"/>
          <w:szCs w:val="24"/>
        </w:rPr>
        <w:t>，TM-N-TiVCO</w:t>
      </w:r>
      <w:r>
        <w:rPr>
          <w:sz w:val="24"/>
          <w:szCs w:val="24"/>
          <w:vertAlign w:val="subscript"/>
        </w:rPr>
        <w:t>2</w:t>
      </w:r>
      <w:r>
        <w:rPr>
          <w:sz w:val="24"/>
          <w:szCs w:val="24"/>
        </w:rPr>
        <w:t>和TM-P-TiVCO</w:t>
      </w:r>
      <w:r>
        <w:rPr>
          <w:sz w:val="24"/>
          <w:szCs w:val="24"/>
          <w:vertAlign w:val="subscript"/>
        </w:rPr>
        <w:t>2</w:t>
      </w:r>
      <w:r>
        <w:rPr>
          <w:sz w:val="24"/>
          <w:szCs w:val="24"/>
        </w:rPr>
        <w:t>催化材料</w:t>
      </w:r>
      <w:r>
        <w:rPr>
          <w:rFonts w:hint="eastAsia"/>
          <w:sz w:val="24"/>
          <w:szCs w:val="24"/>
          <w:lang w:val="en-US" w:eastAsia="zh-CN"/>
        </w:rPr>
        <w:t>作为源数据</w:t>
      </w:r>
      <w:r>
        <w:rPr>
          <w:sz w:val="24"/>
          <w:szCs w:val="24"/>
        </w:rPr>
        <w:t>，并将7种元素自有特征作为特征值，共546个数据进行训练。我们采用分类算法，将∆G</w:t>
      </w:r>
      <w:r>
        <w:rPr>
          <w:sz w:val="24"/>
          <w:szCs w:val="24"/>
          <w:vertAlign w:val="subscript"/>
        </w:rPr>
        <w:t>H</w:t>
      </w:r>
      <w:r>
        <w:rPr>
          <w:sz w:val="24"/>
          <w:szCs w:val="24"/>
        </w:rPr>
        <w:t>在-0.3~0.3</w:t>
      </w:r>
      <w:r>
        <w:rPr>
          <w:rFonts w:hint="eastAsia"/>
          <w:sz w:val="24"/>
          <w:szCs w:val="24"/>
        </w:rPr>
        <w:t xml:space="preserve"> eV</w:t>
      </w:r>
      <w:r>
        <w:rPr>
          <w:sz w:val="24"/>
          <w:szCs w:val="24"/>
        </w:rPr>
        <w:t>范围内分类为0，表示催化剂具有优异的HER性能，在-0.3~0.3</w:t>
      </w:r>
      <w:r>
        <w:rPr>
          <w:rFonts w:hint="eastAsia"/>
          <w:sz w:val="24"/>
          <w:szCs w:val="24"/>
        </w:rPr>
        <w:t xml:space="preserve"> eV</w:t>
      </w:r>
      <w:r>
        <w:rPr>
          <w:sz w:val="24"/>
          <w:szCs w:val="24"/>
        </w:rPr>
        <w:t>范围外分类为1</w:t>
      </w:r>
      <w:r>
        <w:rPr>
          <w:rFonts w:hint="eastAsia"/>
          <w:sz w:val="24"/>
          <w:szCs w:val="24"/>
          <w:lang w:eastAsia="zh-CN"/>
        </w:rPr>
        <w:t>，</w:t>
      </w:r>
      <w:r>
        <w:rPr>
          <w:sz w:val="24"/>
          <w:szCs w:val="24"/>
        </w:rPr>
        <w:t>表示材料催化性能较差。根据图</w:t>
      </w:r>
      <w:r>
        <w:rPr>
          <w:rFonts w:hint="eastAsia"/>
          <w:sz w:val="24"/>
          <w:szCs w:val="24"/>
          <w:lang w:val="en-US" w:eastAsia="zh-CN"/>
        </w:rPr>
        <w:t>16</w:t>
      </w:r>
      <w:r>
        <w:rPr>
          <w:sz w:val="24"/>
          <w:szCs w:val="24"/>
        </w:rPr>
        <w:t>中的机器学习流程图，我们将其放入不同的模型中进行训练，得到的结果如图</w:t>
      </w:r>
      <w:r>
        <w:rPr>
          <w:rFonts w:hint="eastAsia"/>
          <w:sz w:val="24"/>
          <w:szCs w:val="24"/>
        </w:rPr>
        <w:t>19（</w:t>
      </w:r>
      <w:r>
        <w:rPr>
          <w:sz w:val="24"/>
          <w:szCs w:val="24"/>
        </w:rPr>
        <w:t>a~g</w:t>
      </w:r>
      <w:r>
        <w:rPr>
          <w:rFonts w:hint="eastAsia"/>
          <w:sz w:val="24"/>
          <w:szCs w:val="24"/>
        </w:rPr>
        <w:t>）</w:t>
      </w:r>
      <w:r>
        <w:rPr>
          <w:sz w:val="24"/>
          <w:szCs w:val="24"/>
        </w:rPr>
        <w:t>所示，对应XGBoost、DT、QDA、LR、Bayes、SVM、KNN等不同算法模型的混淆矩阵。由图可知，XGBoost算法模型的预测准确率最高，为93.6%。另外，图</w:t>
      </w:r>
      <w:r>
        <w:rPr>
          <w:rFonts w:hint="eastAsia"/>
          <w:sz w:val="24"/>
          <w:szCs w:val="24"/>
        </w:rPr>
        <w:t>19</w:t>
      </w:r>
      <w:r>
        <w:rPr>
          <w:sz w:val="24"/>
          <w:szCs w:val="24"/>
        </w:rPr>
        <w:t>h可以清楚地看到，曲线AUC达到0.9264的高值。因此，XGBoost算法模型是预测TM-S-TiVCO</w:t>
      </w:r>
      <w:r>
        <w:rPr>
          <w:sz w:val="24"/>
          <w:szCs w:val="24"/>
          <w:vertAlign w:val="subscript"/>
        </w:rPr>
        <w:t>2</w:t>
      </w:r>
      <w:r>
        <w:rPr>
          <w:sz w:val="24"/>
          <w:szCs w:val="24"/>
        </w:rPr>
        <w:t>材料HER性能的最佳选择。</w:t>
      </w:r>
    </w:p>
    <w:p>
      <w:pPr>
        <w:pStyle w:val="4"/>
      </w:pPr>
      <w:bookmarkStart w:id="99" w:name="_Toc11599"/>
      <w:bookmarkStart w:id="100" w:name="OLE_LINK36"/>
      <w:r>
        <w:rPr>
          <w:rFonts w:hint="eastAsia"/>
        </w:rPr>
        <w:t>2.3.3 机器学习模型预测及DFT验证</w:t>
      </w:r>
      <w:bookmarkEnd w:id="99"/>
    </w:p>
    <w:bookmarkEnd w:id="100"/>
    <w:p>
      <w:pPr>
        <w:spacing w:line="360" w:lineRule="auto"/>
        <w:ind w:firstLine="480"/>
        <w:rPr>
          <w:color w:val="000000"/>
          <w:kern w:val="0"/>
          <w:sz w:val="24"/>
          <w:szCs w:val="24"/>
          <w:lang w:bidi="ar"/>
        </w:rPr>
      </w:pPr>
      <w:r>
        <w:rPr>
          <w:color w:val="000000"/>
          <w:kern w:val="0"/>
          <w:sz w:val="24"/>
          <w:szCs w:val="24"/>
          <w:lang w:bidi="ar"/>
        </w:rPr>
        <w:t>根据TM-S-TiVCO</w:t>
      </w:r>
      <w:r>
        <w:rPr>
          <w:color w:val="000000"/>
          <w:kern w:val="0"/>
          <w:sz w:val="24"/>
          <w:szCs w:val="24"/>
          <w:vertAlign w:val="subscript"/>
          <w:lang w:bidi="ar"/>
        </w:rPr>
        <w:t>2</w:t>
      </w:r>
      <w:r>
        <w:rPr>
          <w:color w:val="000000"/>
          <w:kern w:val="0"/>
          <w:sz w:val="24"/>
          <w:szCs w:val="24"/>
          <w:lang w:bidi="ar"/>
        </w:rPr>
        <w:t>的7个特征，采用训练好的XGBoost模型对其ΔG</w:t>
      </w:r>
      <w:r>
        <w:rPr>
          <w:color w:val="000000"/>
          <w:kern w:val="0"/>
          <w:sz w:val="24"/>
          <w:szCs w:val="24"/>
          <w:vertAlign w:val="subscript"/>
          <w:lang w:bidi="ar"/>
        </w:rPr>
        <w:t>H</w:t>
      </w:r>
      <w:r>
        <w:rPr>
          <w:color w:val="000000"/>
          <w:kern w:val="0"/>
          <w:sz w:val="24"/>
          <w:szCs w:val="24"/>
          <w:lang w:bidi="ar"/>
        </w:rPr>
        <w:t>进行预测。筛选出Zr-S-TiVCO</w:t>
      </w:r>
      <w:r>
        <w:rPr>
          <w:color w:val="000000"/>
          <w:kern w:val="0"/>
          <w:sz w:val="24"/>
          <w:szCs w:val="24"/>
          <w:vertAlign w:val="subscript"/>
          <w:lang w:bidi="ar"/>
        </w:rPr>
        <w:t>2</w:t>
      </w:r>
      <w:r>
        <w:rPr>
          <w:color w:val="000000"/>
          <w:kern w:val="0"/>
          <w:sz w:val="24"/>
          <w:szCs w:val="24"/>
          <w:lang w:bidi="ar"/>
        </w:rPr>
        <w:t>、Nb-S-TiVCO</w:t>
      </w:r>
      <w:r>
        <w:rPr>
          <w:color w:val="000000"/>
          <w:kern w:val="0"/>
          <w:sz w:val="24"/>
          <w:szCs w:val="24"/>
          <w:vertAlign w:val="subscript"/>
          <w:lang w:bidi="ar"/>
        </w:rPr>
        <w:t>2</w:t>
      </w:r>
      <w:r>
        <w:rPr>
          <w:color w:val="000000"/>
          <w:kern w:val="0"/>
          <w:sz w:val="24"/>
          <w:szCs w:val="24"/>
          <w:lang w:bidi="ar"/>
        </w:rPr>
        <w:t>、Hf-S-TiVCO</w:t>
      </w:r>
      <w:r>
        <w:rPr>
          <w:color w:val="000000"/>
          <w:kern w:val="0"/>
          <w:sz w:val="24"/>
          <w:szCs w:val="24"/>
          <w:vertAlign w:val="subscript"/>
          <w:lang w:bidi="ar"/>
        </w:rPr>
        <w:t>2</w:t>
      </w:r>
      <w:r>
        <w:rPr>
          <w:color w:val="000000"/>
          <w:kern w:val="0"/>
          <w:sz w:val="24"/>
          <w:szCs w:val="24"/>
          <w:lang w:bidi="ar"/>
        </w:rPr>
        <w:t>、Ta-S-TiVCO</w:t>
      </w:r>
      <w:r>
        <w:rPr>
          <w:color w:val="000000"/>
          <w:kern w:val="0"/>
          <w:sz w:val="24"/>
          <w:szCs w:val="24"/>
          <w:vertAlign w:val="subscript"/>
          <w:lang w:bidi="ar"/>
        </w:rPr>
        <w:t>2</w:t>
      </w:r>
      <w:r>
        <w:rPr>
          <w:color w:val="000000"/>
          <w:kern w:val="0"/>
          <w:sz w:val="24"/>
          <w:szCs w:val="24"/>
          <w:lang w:bidi="ar"/>
        </w:rPr>
        <w:t>和W-S-TiVCO</w:t>
      </w:r>
      <w:r>
        <w:rPr>
          <w:color w:val="000000"/>
          <w:kern w:val="0"/>
          <w:sz w:val="24"/>
          <w:szCs w:val="24"/>
          <w:vertAlign w:val="subscript"/>
          <w:lang w:bidi="ar"/>
        </w:rPr>
        <w:t>2</w:t>
      </w:r>
      <w:r>
        <w:rPr>
          <w:color w:val="000000"/>
          <w:kern w:val="0"/>
          <w:sz w:val="24"/>
          <w:szCs w:val="24"/>
          <w:lang w:bidi="ar"/>
        </w:rPr>
        <w:t>五种性能优异的催化剂。为了验证得到的结果，我们计算了这五种材料的吸附能，都在-0.3~0.3</w:t>
      </w:r>
      <w:r>
        <w:rPr>
          <w:rFonts w:hint="eastAsia"/>
          <w:color w:val="000000"/>
          <w:kern w:val="0"/>
          <w:sz w:val="24"/>
          <w:szCs w:val="24"/>
          <w:lang w:bidi="ar"/>
        </w:rPr>
        <w:t xml:space="preserve"> eV</w:t>
      </w:r>
      <w:r>
        <w:rPr>
          <w:color w:val="000000"/>
          <w:kern w:val="0"/>
          <w:sz w:val="24"/>
          <w:szCs w:val="24"/>
          <w:lang w:bidi="ar"/>
        </w:rPr>
        <w:t>的范围内，表明它们具有良好的HER催化性能，XGBoost模型具有较高的准确度</w:t>
      </w:r>
      <w:r>
        <w:rPr>
          <w:rFonts w:hint="eastAsia"/>
          <w:color w:val="000000"/>
          <w:kern w:val="0"/>
          <w:sz w:val="24"/>
          <w:szCs w:val="24"/>
          <w:lang w:bidi="ar"/>
        </w:rPr>
        <w:t>（表2）</w:t>
      </w:r>
      <w:r>
        <w:rPr>
          <w:color w:val="000000"/>
          <w:kern w:val="0"/>
          <w:sz w:val="24"/>
          <w:szCs w:val="24"/>
          <w:lang w:bidi="ar"/>
        </w:rPr>
        <w:t>。其中Hf-S-TiVCO</w:t>
      </w:r>
      <w:r>
        <w:rPr>
          <w:color w:val="000000"/>
          <w:kern w:val="0"/>
          <w:sz w:val="24"/>
          <w:szCs w:val="24"/>
          <w:vertAlign w:val="subscript"/>
          <w:lang w:bidi="ar"/>
        </w:rPr>
        <w:t>2</w:t>
      </w:r>
      <w:r>
        <w:rPr>
          <w:color w:val="000000"/>
          <w:kern w:val="0"/>
          <w:sz w:val="24"/>
          <w:szCs w:val="24"/>
          <w:lang w:bidi="ar"/>
        </w:rPr>
        <w:t>的ΔG</w:t>
      </w:r>
      <w:r>
        <w:rPr>
          <w:color w:val="000000"/>
          <w:kern w:val="0"/>
          <w:sz w:val="24"/>
          <w:szCs w:val="24"/>
          <w:vertAlign w:val="subscript"/>
          <w:lang w:bidi="ar"/>
        </w:rPr>
        <w:t>H</w:t>
      </w:r>
      <w:r>
        <w:rPr>
          <w:color w:val="000000"/>
          <w:kern w:val="0"/>
          <w:sz w:val="24"/>
          <w:szCs w:val="24"/>
          <w:lang w:bidi="ar"/>
        </w:rPr>
        <w:t>最低，为-0.21eV，具有优异的HER性能。</w:t>
      </w:r>
    </w:p>
    <w:p>
      <w:pPr>
        <w:spacing w:line="360" w:lineRule="auto"/>
        <w:ind w:firstLine="480"/>
        <w:rPr>
          <w:color w:val="000000"/>
          <w:kern w:val="0"/>
          <w:sz w:val="24"/>
          <w:szCs w:val="24"/>
          <w:lang w:bidi="ar"/>
        </w:rPr>
      </w:pPr>
    </w:p>
    <w:p>
      <w:pPr>
        <w:spacing w:line="360" w:lineRule="auto"/>
        <w:jc w:val="center"/>
        <w:rPr>
          <w:color w:val="000000"/>
          <w:kern w:val="0"/>
          <w:sz w:val="24"/>
          <w:szCs w:val="24"/>
          <w:lang w:bidi="ar"/>
        </w:rPr>
      </w:pPr>
      <w:r>
        <w:rPr>
          <w:color w:val="000000"/>
          <w:kern w:val="0"/>
          <w:sz w:val="24"/>
          <w:szCs w:val="24"/>
          <w:lang w:bidi="ar"/>
        </w:rPr>
        <w:drawing>
          <wp:inline distT="0" distB="0" distL="114300" distR="114300">
            <wp:extent cx="5274310" cy="2731770"/>
            <wp:effectExtent l="0" t="0" r="2540" b="11430"/>
            <wp:docPr id="6" name="图片 6" descr="a4d200f691adf19a1a5041e8bc6d6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d200f691adf19a1a5041e8bc6d69b"/>
                    <pic:cNvPicPr>
                      <a:picLocks noChangeAspect="1"/>
                    </pic:cNvPicPr>
                  </pic:nvPicPr>
                  <pic:blipFill>
                    <a:blip r:embed="rId26"/>
                    <a:stretch>
                      <a:fillRect/>
                    </a:stretch>
                  </pic:blipFill>
                  <pic:spPr>
                    <a:xfrm>
                      <a:off x="0" y="0"/>
                      <a:ext cx="5274310" cy="2731770"/>
                    </a:xfrm>
                    <a:prstGeom prst="rect">
                      <a:avLst/>
                    </a:prstGeom>
                  </pic:spPr>
                </pic:pic>
              </a:graphicData>
            </a:graphic>
          </wp:inline>
        </w:drawing>
      </w:r>
    </w:p>
    <w:p>
      <w:pPr>
        <w:pStyle w:val="5"/>
        <w:spacing w:line="360" w:lineRule="auto"/>
        <w:ind w:firstLine="480"/>
        <w:jc w:val="center"/>
        <w:rPr>
          <w:rFonts w:ascii="Times New Roman" w:hAnsi="Times New Roman" w:eastAsia="宋体"/>
          <w:color w:val="000000"/>
          <w:kern w:val="0"/>
          <w:sz w:val="21"/>
          <w:szCs w:val="21"/>
          <w:lang w:bidi="ar"/>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19</w:t>
      </w:r>
      <w:r>
        <w:rPr>
          <w:rFonts w:ascii="Times New Roman" w:hAnsi="Times New Roman" w:eastAsia="宋体"/>
          <w:sz w:val="21"/>
          <w:szCs w:val="21"/>
        </w:rPr>
        <w:fldChar w:fldCharType="end"/>
      </w:r>
      <w:bookmarkStart w:id="101" w:name="_Toc1000"/>
      <w:r>
        <w:rPr>
          <w:rFonts w:ascii="Times New Roman" w:hAnsi="Times New Roman" w:eastAsia="宋体"/>
          <w:sz w:val="21"/>
          <w:szCs w:val="21"/>
        </w:rPr>
        <w:t xml:space="preserve"> </w:t>
      </w:r>
      <w:r>
        <w:rPr>
          <w:rFonts w:ascii="Times New Roman" w:hAnsi="Times New Roman" w:eastAsia="宋体"/>
          <w:color w:val="000000"/>
          <w:kern w:val="0"/>
          <w:sz w:val="21"/>
          <w:szCs w:val="21"/>
          <w:lang w:bidi="ar"/>
        </w:rPr>
        <w:t>不同算法模型的混淆矩阵及ROC曲线</w:t>
      </w:r>
      <w:bookmarkEnd w:id="101"/>
    </w:p>
    <w:p/>
    <w:p>
      <w:pPr>
        <w:widowControl/>
        <w:spacing w:line="360" w:lineRule="auto"/>
        <w:ind w:firstLine="420" w:firstLineChars="200"/>
        <w:jc w:val="center"/>
        <w:rPr>
          <w:color w:val="000000"/>
          <w:kern w:val="0"/>
          <w:szCs w:val="21"/>
          <w:lang w:bidi="ar"/>
        </w:rPr>
      </w:pPr>
      <w:bookmarkStart w:id="102" w:name="OLE_LINK17"/>
      <w:r>
        <w:rPr>
          <w:color w:val="000000"/>
          <w:kern w:val="0"/>
          <w:szCs w:val="21"/>
          <w:lang w:bidi="ar"/>
        </w:rPr>
        <w:t>表2 XGBoost模型预测和计算验证</w:t>
      </w:r>
    </w:p>
    <w:bookmarkEnd w:id="102"/>
    <w:tbl>
      <w:tblPr>
        <w:tblStyle w:val="15"/>
        <w:tblpPr w:leftFromText="180" w:rightFromText="180" w:vertAnchor="text" w:horzAnchor="page" w:tblpX="1776" w:tblpY="72"/>
        <w:tblOverlap w:val="never"/>
        <w:tblW w:w="8179" w:type="dxa"/>
        <w:tblInd w:w="0" w:type="dxa"/>
        <w:tblLayout w:type="autofit"/>
        <w:tblCellMar>
          <w:top w:w="0" w:type="dxa"/>
          <w:left w:w="0" w:type="dxa"/>
          <w:bottom w:w="0" w:type="dxa"/>
          <w:right w:w="0" w:type="dxa"/>
        </w:tblCellMar>
      </w:tblPr>
      <w:tblGrid>
        <w:gridCol w:w="1426"/>
        <w:gridCol w:w="1350"/>
        <w:gridCol w:w="1350"/>
        <w:gridCol w:w="1350"/>
        <w:gridCol w:w="1350"/>
        <w:gridCol w:w="1353"/>
      </w:tblGrid>
      <w:tr>
        <w:tblPrEx>
          <w:tblCellMar>
            <w:top w:w="0" w:type="dxa"/>
            <w:left w:w="0" w:type="dxa"/>
            <w:bottom w:w="0" w:type="dxa"/>
            <w:right w:w="0" w:type="dxa"/>
          </w:tblCellMar>
        </w:tblPrEx>
        <w:trPr>
          <w:trHeight w:val="454" w:hRule="atLeast"/>
        </w:trPr>
        <w:tc>
          <w:tcPr>
            <w:tcW w:w="1426" w:type="dxa"/>
            <w:vMerge w:val="restart"/>
            <w:tcBorders>
              <w:top w:val="single" w:color="000000" w:sz="12" w:space="0"/>
              <w:left w:val="nil"/>
              <w:right w:val="nil"/>
            </w:tcBorders>
            <w:shd w:val="clear" w:color="auto" w:fill="FFFFFF"/>
            <w:tcMar>
              <w:top w:w="20" w:type="dxa"/>
              <w:left w:w="20" w:type="dxa"/>
              <w:bottom w:w="72" w:type="dxa"/>
              <w:right w:w="20" w:type="dxa"/>
            </w:tcMar>
            <w:vAlign w:val="center"/>
          </w:tcPr>
          <w:p>
            <w:pPr>
              <w:jc w:val="center"/>
              <w:rPr>
                <w:color w:val="000000"/>
                <w:szCs w:val="21"/>
              </w:rPr>
            </w:pPr>
            <w:r>
              <w:rPr>
                <w:bCs/>
                <w:color w:val="000000"/>
                <w:kern w:val="24"/>
                <w:szCs w:val="21"/>
              </w:rPr>
              <w:t>∆G</w:t>
            </w:r>
            <w:r>
              <w:rPr>
                <w:bCs/>
                <w:color w:val="000000"/>
                <w:kern w:val="24"/>
                <w:szCs w:val="21"/>
                <w:vertAlign w:val="subscript"/>
              </w:rPr>
              <w:t xml:space="preserve">H </w:t>
            </w:r>
            <w:r>
              <w:rPr>
                <w:rFonts w:hint="eastAsia"/>
                <w:bCs/>
                <w:color w:val="000000"/>
                <w:kern w:val="24"/>
                <w:szCs w:val="21"/>
              </w:rPr>
              <w:t>（</w:t>
            </w:r>
            <w:r>
              <w:rPr>
                <w:bCs/>
                <w:color w:val="000000"/>
                <w:kern w:val="24"/>
                <w:szCs w:val="21"/>
              </w:rPr>
              <w:t>eV</w:t>
            </w:r>
            <w:r>
              <w:rPr>
                <w:rFonts w:hint="eastAsia"/>
                <w:bCs/>
                <w:color w:val="000000"/>
                <w:kern w:val="24"/>
                <w:szCs w:val="21"/>
              </w:rPr>
              <w:t>）</w:t>
            </w:r>
          </w:p>
        </w:tc>
        <w:tc>
          <w:tcPr>
            <w:tcW w:w="6753" w:type="dxa"/>
            <w:gridSpan w:val="5"/>
            <w:tcBorders>
              <w:top w:val="single" w:color="000000" w:sz="12" w:space="0"/>
              <w:left w:val="nil"/>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Material</w:t>
            </w:r>
            <w:r>
              <w:rPr>
                <w:rFonts w:hint="eastAsia"/>
                <w:bCs/>
                <w:color w:val="000000"/>
                <w:kern w:val="24"/>
                <w:sz w:val="21"/>
                <w:szCs w:val="21"/>
              </w:rPr>
              <w:t>（</w:t>
            </w:r>
            <w:r>
              <w:rPr>
                <w:bCs/>
                <w:color w:val="000000"/>
                <w:kern w:val="24"/>
                <w:sz w:val="21"/>
                <w:szCs w:val="21"/>
              </w:rPr>
              <w:t>TM-S-TiVC</w:t>
            </w:r>
            <w:r>
              <w:rPr>
                <w:rFonts w:hint="eastAsia"/>
                <w:bCs/>
                <w:color w:val="000000"/>
                <w:kern w:val="24"/>
                <w:sz w:val="21"/>
                <w:szCs w:val="21"/>
              </w:rPr>
              <w:t>）</w:t>
            </w:r>
          </w:p>
        </w:tc>
      </w:tr>
      <w:tr>
        <w:tblPrEx>
          <w:tblCellMar>
            <w:top w:w="0" w:type="dxa"/>
            <w:left w:w="0" w:type="dxa"/>
            <w:bottom w:w="0" w:type="dxa"/>
            <w:right w:w="0" w:type="dxa"/>
          </w:tblCellMar>
        </w:tblPrEx>
        <w:trPr>
          <w:trHeight w:val="181" w:hRule="atLeast"/>
        </w:trPr>
        <w:tc>
          <w:tcPr>
            <w:tcW w:w="1426" w:type="dxa"/>
            <w:vMerge w:val="continue"/>
            <w:tcBorders>
              <w:left w:val="nil"/>
              <w:bottom w:val="single" w:color="000000" w:sz="12" w:space="0"/>
              <w:right w:val="nil"/>
            </w:tcBorders>
            <w:shd w:val="clear" w:color="auto" w:fill="FFFFFF"/>
            <w:tcMar>
              <w:top w:w="20" w:type="dxa"/>
              <w:left w:w="20" w:type="dxa"/>
              <w:bottom w:w="72" w:type="dxa"/>
              <w:right w:w="20" w:type="dxa"/>
            </w:tcMar>
            <w:vAlign w:val="center"/>
          </w:tcPr>
          <w:p>
            <w:pPr>
              <w:jc w:val="center"/>
              <w:rPr>
                <w:color w:val="000000"/>
                <w:szCs w:val="21"/>
              </w:rPr>
            </w:pPr>
          </w:p>
        </w:tc>
        <w:tc>
          <w:tcPr>
            <w:tcW w:w="1350" w:type="dxa"/>
            <w:tcBorders>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 xml:space="preserve">Zr </w:t>
            </w:r>
          </w:p>
        </w:tc>
        <w:tc>
          <w:tcPr>
            <w:tcW w:w="1350" w:type="dxa"/>
            <w:tcBorders>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 xml:space="preserve">Nb </w:t>
            </w:r>
          </w:p>
        </w:tc>
        <w:tc>
          <w:tcPr>
            <w:tcW w:w="1350" w:type="dxa"/>
            <w:tcBorders>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 xml:space="preserve">Hf </w:t>
            </w:r>
          </w:p>
        </w:tc>
        <w:tc>
          <w:tcPr>
            <w:tcW w:w="1350" w:type="dxa"/>
            <w:tcBorders>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 xml:space="preserve">Ta </w:t>
            </w:r>
          </w:p>
        </w:tc>
        <w:tc>
          <w:tcPr>
            <w:tcW w:w="1353" w:type="dxa"/>
            <w:tcBorders>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 xml:space="preserve">W </w:t>
            </w:r>
          </w:p>
        </w:tc>
      </w:tr>
      <w:tr>
        <w:tblPrEx>
          <w:tblCellMar>
            <w:top w:w="0" w:type="dxa"/>
            <w:left w:w="0" w:type="dxa"/>
            <w:bottom w:w="0" w:type="dxa"/>
            <w:right w:w="0" w:type="dxa"/>
          </w:tblCellMar>
        </w:tblPrEx>
        <w:trPr>
          <w:trHeight w:val="441" w:hRule="atLeast"/>
        </w:trPr>
        <w:tc>
          <w:tcPr>
            <w:tcW w:w="1426" w:type="dxa"/>
            <w:tcBorders>
              <w:top w:val="single" w:color="000000" w:sz="12" w:space="0"/>
              <w:left w:val="nil"/>
              <w:bottom w:val="nil"/>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prediction</w:t>
            </w:r>
          </w:p>
        </w:tc>
        <w:tc>
          <w:tcPr>
            <w:tcW w:w="1350" w:type="dxa"/>
            <w:tcBorders>
              <w:top w:val="single" w:color="000000" w:sz="12" w:space="0"/>
              <w:left w:val="nil"/>
              <w:bottom w:val="nil"/>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rFonts w:hint="eastAsia"/>
                <w:bCs/>
                <w:color w:val="000000"/>
                <w:kern w:val="24"/>
                <w:sz w:val="21"/>
                <w:szCs w:val="21"/>
              </w:rPr>
              <w:t>（</w:t>
            </w:r>
            <w:r>
              <w:rPr>
                <w:bCs/>
                <w:color w:val="000000"/>
                <w:kern w:val="24"/>
                <w:sz w:val="21"/>
                <w:szCs w:val="21"/>
              </w:rPr>
              <w:t>-0.3~0.3</w:t>
            </w:r>
            <w:r>
              <w:rPr>
                <w:rFonts w:hint="eastAsia"/>
                <w:bCs/>
                <w:color w:val="000000"/>
                <w:kern w:val="24"/>
                <w:sz w:val="21"/>
                <w:szCs w:val="21"/>
              </w:rPr>
              <w:t>）</w:t>
            </w:r>
          </w:p>
        </w:tc>
        <w:tc>
          <w:tcPr>
            <w:tcW w:w="1350" w:type="dxa"/>
            <w:tcBorders>
              <w:top w:val="single" w:color="000000" w:sz="12" w:space="0"/>
              <w:left w:val="nil"/>
              <w:bottom w:val="nil"/>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rFonts w:hint="eastAsia"/>
                <w:bCs/>
                <w:color w:val="000000"/>
                <w:kern w:val="24"/>
                <w:sz w:val="21"/>
                <w:szCs w:val="21"/>
              </w:rPr>
              <w:t>（</w:t>
            </w:r>
            <w:r>
              <w:rPr>
                <w:bCs/>
                <w:color w:val="000000"/>
                <w:kern w:val="24"/>
                <w:sz w:val="21"/>
                <w:szCs w:val="21"/>
              </w:rPr>
              <w:t>-0.3~0.3</w:t>
            </w:r>
            <w:r>
              <w:rPr>
                <w:rFonts w:hint="eastAsia"/>
                <w:bCs/>
                <w:color w:val="000000"/>
                <w:kern w:val="24"/>
                <w:sz w:val="21"/>
                <w:szCs w:val="21"/>
              </w:rPr>
              <w:t>）</w:t>
            </w:r>
          </w:p>
        </w:tc>
        <w:tc>
          <w:tcPr>
            <w:tcW w:w="1350" w:type="dxa"/>
            <w:tcBorders>
              <w:top w:val="single" w:color="000000" w:sz="12" w:space="0"/>
              <w:left w:val="nil"/>
              <w:bottom w:val="nil"/>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rFonts w:hint="eastAsia"/>
                <w:bCs/>
                <w:color w:val="000000"/>
                <w:kern w:val="24"/>
                <w:sz w:val="21"/>
                <w:szCs w:val="21"/>
              </w:rPr>
              <w:t>（</w:t>
            </w:r>
            <w:r>
              <w:rPr>
                <w:bCs/>
                <w:color w:val="000000"/>
                <w:kern w:val="24"/>
                <w:sz w:val="21"/>
                <w:szCs w:val="21"/>
              </w:rPr>
              <w:t>-0.3~0.3</w:t>
            </w:r>
            <w:r>
              <w:rPr>
                <w:rFonts w:hint="eastAsia"/>
                <w:bCs/>
                <w:color w:val="000000"/>
                <w:kern w:val="24"/>
                <w:sz w:val="21"/>
                <w:szCs w:val="21"/>
              </w:rPr>
              <w:t>）</w:t>
            </w:r>
          </w:p>
        </w:tc>
        <w:tc>
          <w:tcPr>
            <w:tcW w:w="1350" w:type="dxa"/>
            <w:tcBorders>
              <w:top w:val="single" w:color="000000" w:sz="12" w:space="0"/>
              <w:left w:val="nil"/>
              <w:bottom w:val="nil"/>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rFonts w:hint="eastAsia"/>
                <w:bCs/>
                <w:color w:val="000000"/>
                <w:kern w:val="24"/>
                <w:sz w:val="21"/>
                <w:szCs w:val="21"/>
              </w:rPr>
              <w:t>（</w:t>
            </w:r>
            <w:r>
              <w:rPr>
                <w:bCs/>
                <w:color w:val="000000"/>
                <w:kern w:val="24"/>
                <w:sz w:val="21"/>
                <w:szCs w:val="21"/>
              </w:rPr>
              <w:t>-0.3~0.3</w:t>
            </w:r>
            <w:r>
              <w:rPr>
                <w:rFonts w:hint="eastAsia"/>
                <w:bCs/>
                <w:color w:val="000000"/>
                <w:kern w:val="24"/>
                <w:sz w:val="21"/>
                <w:szCs w:val="21"/>
              </w:rPr>
              <w:t>）</w:t>
            </w:r>
          </w:p>
        </w:tc>
        <w:tc>
          <w:tcPr>
            <w:tcW w:w="1353" w:type="dxa"/>
            <w:tcBorders>
              <w:top w:val="single" w:color="000000" w:sz="12" w:space="0"/>
              <w:left w:val="nil"/>
              <w:bottom w:val="nil"/>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rFonts w:hint="eastAsia"/>
                <w:bCs/>
                <w:color w:val="000000"/>
                <w:kern w:val="24"/>
                <w:sz w:val="21"/>
                <w:szCs w:val="21"/>
              </w:rPr>
              <w:t>（</w:t>
            </w:r>
            <w:r>
              <w:rPr>
                <w:bCs/>
                <w:color w:val="000000"/>
                <w:kern w:val="24"/>
                <w:sz w:val="21"/>
                <w:szCs w:val="21"/>
              </w:rPr>
              <w:t>-0.3~0.3</w:t>
            </w:r>
            <w:r>
              <w:rPr>
                <w:rFonts w:hint="eastAsia"/>
                <w:bCs/>
                <w:color w:val="000000"/>
                <w:kern w:val="24"/>
                <w:sz w:val="21"/>
                <w:szCs w:val="21"/>
              </w:rPr>
              <w:t>）</w:t>
            </w:r>
          </w:p>
        </w:tc>
      </w:tr>
      <w:tr>
        <w:tblPrEx>
          <w:tblCellMar>
            <w:top w:w="0" w:type="dxa"/>
            <w:left w:w="0" w:type="dxa"/>
            <w:bottom w:w="0" w:type="dxa"/>
            <w:right w:w="0" w:type="dxa"/>
          </w:tblCellMar>
        </w:tblPrEx>
        <w:trPr>
          <w:trHeight w:val="495" w:hRule="atLeast"/>
        </w:trPr>
        <w:tc>
          <w:tcPr>
            <w:tcW w:w="1426" w:type="dxa"/>
            <w:tcBorders>
              <w:top w:val="nil"/>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calculation</w:t>
            </w:r>
          </w:p>
        </w:tc>
        <w:tc>
          <w:tcPr>
            <w:tcW w:w="1350" w:type="dxa"/>
            <w:tcBorders>
              <w:top w:val="nil"/>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-0.2493</w:t>
            </w:r>
          </w:p>
        </w:tc>
        <w:tc>
          <w:tcPr>
            <w:tcW w:w="1350" w:type="dxa"/>
            <w:tcBorders>
              <w:top w:val="nil"/>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-0.2635</w:t>
            </w:r>
          </w:p>
        </w:tc>
        <w:tc>
          <w:tcPr>
            <w:tcW w:w="1350" w:type="dxa"/>
            <w:tcBorders>
              <w:top w:val="nil"/>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-0.2179</w:t>
            </w:r>
          </w:p>
        </w:tc>
        <w:tc>
          <w:tcPr>
            <w:tcW w:w="1350" w:type="dxa"/>
            <w:tcBorders>
              <w:top w:val="nil"/>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-0.241</w:t>
            </w:r>
          </w:p>
        </w:tc>
        <w:tc>
          <w:tcPr>
            <w:tcW w:w="1353" w:type="dxa"/>
            <w:tcBorders>
              <w:top w:val="nil"/>
              <w:left w:val="nil"/>
              <w:bottom w:val="single" w:color="000000" w:sz="12" w:space="0"/>
              <w:right w:val="nil"/>
            </w:tcBorders>
            <w:shd w:val="clear" w:color="auto" w:fill="FFFFFF"/>
            <w:tcMar>
              <w:top w:w="20" w:type="dxa"/>
              <w:left w:w="20" w:type="dxa"/>
              <w:bottom w:w="72" w:type="dxa"/>
              <w:right w:w="20" w:type="dxa"/>
            </w:tcMar>
            <w:vAlign w:val="center"/>
          </w:tcPr>
          <w:p>
            <w:pPr>
              <w:pStyle w:val="14"/>
              <w:widowControl/>
              <w:jc w:val="center"/>
              <w:rPr>
                <w:color w:val="000000"/>
                <w:sz w:val="21"/>
                <w:szCs w:val="21"/>
              </w:rPr>
            </w:pPr>
            <w:r>
              <w:rPr>
                <w:bCs/>
                <w:color w:val="000000"/>
                <w:kern w:val="24"/>
                <w:sz w:val="21"/>
                <w:szCs w:val="21"/>
              </w:rPr>
              <w:t>-0.2556</w:t>
            </w:r>
          </w:p>
        </w:tc>
      </w:tr>
    </w:tbl>
    <w:p>
      <w:pPr>
        <w:spacing w:line="360" w:lineRule="auto"/>
        <w:rPr>
          <w:color w:val="000000"/>
          <w:kern w:val="0"/>
          <w:sz w:val="24"/>
          <w:szCs w:val="24"/>
          <w:lang w:bidi="ar"/>
        </w:rPr>
      </w:pPr>
    </w:p>
    <w:p>
      <w:pPr>
        <w:spacing w:line="360" w:lineRule="auto"/>
        <w:ind w:firstLine="480" w:firstLineChars="200"/>
        <w:jc w:val="left"/>
        <w:rPr>
          <w:sz w:val="24"/>
          <w:szCs w:val="24"/>
        </w:rPr>
      </w:pPr>
      <w:r>
        <w:rPr>
          <w:sz w:val="24"/>
          <w:szCs w:val="24"/>
          <w:lang w:bidi="ar"/>
        </w:rPr>
        <w:t>综上所述，我们将DFT计算结合ML模型，对非金属和金属掺杂的TiVCO</w:t>
      </w:r>
      <w:r>
        <w:rPr>
          <w:sz w:val="24"/>
          <w:szCs w:val="24"/>
          <w:vertAlign w:val="subscript"/>
          <w:lang w:bidi="ar"/>
        </w:rPr>
        <w:t>2</w:t>
      </w:r>
      <w:r>
        <w:rPr>
          <w:sz w:val="24"/>
          <w:szCs w:val="24"/>
          <w:lang w:bidi="ar"/>
        </w:rPr>
        <w:t>催化剂进行HER性能研究，筛选出</w:t>
      </w:r>
      <w:bookmarkStart w:id="103" w:name="OLE_LINK37"/>
      <w:r>
        <w:rPr>
          <w:sz w:val="24"/>
          <w:szCs w:val="24"/>
        </w:rPr>
        <w:t>Nb-B-TiVCO</w:t>
      </w:r>
      <w:r>
        <w:rPr>
          <w:sz w:val="24"/>
          <w:szCs w:val="24"/>
          <w:vertAlign w:val="subscript"/>
        </w:rPr>
        <w:t>2</w:t>
      </w:r>
      <w:r>
        <w:rPr>
          <w:sz w:val="24"/>
          <w:szCs w:val="24"/>
        </w:rPr>
        <w:t>、Ta-B-TiVCO</w:t>
      </w:r>
      <w:r>
        <w:rPr>
          <w:sz w:val="24"/>
          <w:szCs w:val="24"/>
          <w:vertAlign w:val="subscript"/>
        </w:rPr>
        <w:t>2</w:t>
      </w:r>
      <w:r>
        <w:rPr>
          <w:sz w:val="24"/>
          <w:szCs w:val="24"/>
        </w:rPr>
        <w:t>、Co-B-TiVCO</w:t>
      </w:r>
      <w:r>
        <w:rPr>
          <w:sz w:val="24"/>
          <w:szCs w:val="24"/>
          <w:vertAlign w:val="subscript"/>
        </w:rPr>
        <w:t>2</w:t>
      </w:r>
      <w:r>
        <w:rPr>
          <w:sz w:val="24"/>
          <w:szCs w:val="24"/>
        </w:rPr>
        <w:t>、Os-N-TiVCO</w:t>
      </w:r>
      <w:r>
        <w:rPr>
          <w:sz w:val="24"/>
          <w:szCs w:val="24"/>
          <w:vertAlign w:val="subscript"/>
        </w:rPr>
        <w:t>2</w:t>
      </w:r>
      <w:r>
        <w:rPr>
          <w:sz w:val="24"/>
          <w:szCs w:val="24"/>
        </w:rPr>
        <w:t>、Nb-P-TiVCO</w:t>
      </w:r>
      <w:r>
        <w:rPr>
          <w:sz w:val="24"/>
          <w:szCs w:val="24"/>
          <w:vertAlign w:val="subscript"/>
        </w:rPr>
        <w:t>2</w:t>
      </w:r>
      <w:bookmarkEnd w:id="103"/>
      <w:r>
        <w:rPr>
          <w:sz w:val="24"/>
          <w:szCs w:val="24"/>
        </w:rPr>
        <w:t>和</w:t>
      </w:r>
      <w:r>
        <w:rPr>
          <w:color w:val="000000"/>
          <w:kern w:val="0"/>
          <w:sz w:val="24"/>
          <w:szCs w:val="24"/>
          <w:lang w:bidi="ar"/>
        </w:rPr>
        <w:t>Hf-S-TiVCO</w:t>
      </w:r>
      <w:r>
        <w:rPr>
          <w:color w:val="000000"/>
          <w:kern w:val="0"/>
          <w:sz w:val="24"/>
          <w:szCs w:val="24"/>
          <w:vertAlign w:val="subscript"/>
          <w:lang w:bidi="ar"/>
        </w:rPr>
        <w:t>2</w:t>
      </w:r>
      <w:r>
        <w:rPr>
          <w:color w:val="000000"/>
          <w:kern w:val="0"/>
          <w:sz w:val="24"/>
          <w:szCs w:val="24"/>
          <w:lang w:bidi="ar"/>
        </w:rPr>
        <w:t>六种性能优异的催化剂，</w:t>
      </w:r>
      <w:r>
        <w:rPr>
          <w:sz w:val="24"/>
          <w:szCs w:val="24"/>
          <w:lang w:bidi="ar"/>
        </w:rPr>
        <w:t>大大加速了催化剂的筛选过程，并且具有较高的准确度，显著提升能源材料的理论研发效率，为后续催化剂的设计提供新的思路和策略。</w:t>
      </w:r>
    </w:p>
    <w:p>
      <w:pPr>
        <w:pStyle w:val="2"/>
        <w:bidi w:val="0"/>
        <w:rPr>
          <w:rStyle w:val="20"/>
          <w:szCs w:val="32"/>
        </w:rPr>
      </w:pPr>
      <w:bookmarkStart w:id="104" w:name="_Toc30560"/>
      <w:r>
        <w:rPr>
          <w:rStyle w:val="20"/>
          <w:szCs w:val="32"/>
        </w:rPr>
        <w:t>3 结论</w:t>
      </w:r>
      <w:bookmarkEnd w:id="104"/>
    </w:p>
    <w:p>
      <w:pPr>
        <w:spacing w:line="360" w:lineRule="auto"/>
        <w:ind w:firstLine="480" w:firstLineChars="200"/>
        <w:rPr>
          <w:sz w:val="24"/>
          <w:szCs w:val="24"/>
        </w:rPr>
      </w:pPr>
      <w:r>
        <w:rPr>
          <w:rFonts w:hint="eastAsia"/>
          <w:sz w:val="24"/>
          <w:szCs w:val="24"/>
        </w:rPr>
        <w:t>在</w:t>
      </w:r>
      <w:r>
        <w:rPr>
          <w:sz w:val="24"/>
          <w:szCs w:val="24"/>
        </w:rPr>
        <w:t>建立氢能关键催化材料催化</w:t>
      </w:r>
      <w:r>
        <w:rPr>
          <w:rFonts w:hint="eastAsia"/>
          <w:sz w:val="24"/>
          <w:szCs w:val="24"/>
          <w:lang w:val="en-US" w:eastAsia="zh-CN"/>
        </w:rPr>
        <w:t>反应</w:t>
      </w:r>
      <w:r>
        <w:rPr>
          <w:sz w:val="24"/>
          <w:szCs w:val="24"/>
        </w:rPr>
        <w:t>性能的理论评估方法</w:t>
      </w:r>
      <w:r>
        <w:rPr>
          <w:rFonts w:hint="eastAsia"/>
          <w:sz w:val="24"/>
          <w:szCs w:val="24"/>
        </w:rPr>
        <w:t>方面，我们以TiVC-MXenes催化HER反应机理研究为例，采用能量描述符</w:t>
      </w:r>
      <w:r>
        <w:rPr>
          <w:sz w:val="24"/>
          <w:szCs w:val="24"/>
        </w:rPr>
        <w:t>ΔG</w:t>
      </w:r>
      <w:r>
        <w:rPr>
          <w:sz w:val="24"/>
          <w:szCs w:val="24"/>
          <w:vertAlign w:val="subscript"/>
        </w:rPr>
        <w:t>H</w:t>
      </w:r>
      <w:r>
        <w:rPr>
          <w:rFonts w:hint="eastAsia"/>
          <w:sz w:val="24"/>
          <w:szCs w:val="24"/>
        </w:rPr>
        <w:t>对78种改性材料进行</w:t>
      </w:r>
      <w:r>
        <w:rPr>
          <w:sz w:val="24"/>
          <w:szCs w:val="24"/>
        </w:rPr>
        <w:t>HER性能</w:t>
      </w:r>
      <w:r>
        <w:rPr>
          <w:rFonts w:hint="eastAsia"/>
          <w:sz w:val="24"/>
          <w:szCs w:val="24"/>
        </w:rPr>
        <w:t>计算，避免计算整个反应路径来实现催化剂的高通量筛选。筛选出</w:t>
      </w:r>
      <w:r>
        <w:rPr>
          <w:sz w:val="24"/>
          <w:szCs w:val="24"/>
        </w:rPr>
        <w:t>Nb-B-TiVCO</w:t>
      </w:r>
      <w:r>
        <w:rPr>
          <w:sz w:val="24"/>
          <w:szCs w:val="24"/>
          <w:vertAlign w:val="subscript"/>
        </w:rPr>
        <w:t>2</w:t>
      </w:r>
      <w:r>
        <w:rPr>
          <w:sz w:val="24"/>
          <w:szCs w:val="24"/>
        </w:rPr>
        <w:t>、Ta-B-TiVCO</w:t>
      </w:r>
      <w:r>
        <w:rPr>
          <w:sz w:val="24"/>
          <w:szCs w:val="24"/>
          <w:vertAlign w:val="subscript"/>
        </w:rPr>
        <w:t>2</w:t>
      </w:r>
      <w:r>
        <w:rPr>
          <w:sz w:val="24"/>
          <w:szCs w:val="24"/>
        </w:rPr>
        <w:t>、Co-B-TiVCO</w:t>
      </w:r>
      <w:r>
        <w:rPr>
          <w:sz w:val="24"/>
          <w:szCs w:val="24"/>
          <w:vertAlign w:val="subscript"/>
        </w:rPr>
        <w:t>2</w:t>
      </w:r>
      <w:r>
        <w:rPr>
          <w:sz w:val="24"/>
          <w:szCs w:val="24"/>
        </w:rPr>
        <w:t>、Os-N-TiVCO</w:t>
      </w:r>
      <w:r>
        <w:rPr>
          <w:sz w:val="24"/>
          <w:szCs w:val="24"/>
          <w:vertAlign w:val="subscript"/>
        </w:rPr>
        <w:t>2</w:t>
      </w:r>
      <w:r>
        <w:rPr>
          <w:sz w:val="24"/>
          <w:szCs w:val="24"/>
        </w:rPr>
        <w:t>、Nb-P-TiVCO</w:t>
      </w:r>
      <w:r>
        <w:rPr>
          <w:sz w:val="24"/>
          <w:szCs w:val="24"/>
          <w:vertAlign w:val="subscript"/>
        </w:rPr>
        <w:t>2</w:t>
      </w:r>
      <w:r>
        <w:rPr>
          <w:rFonts w:hint="eastAsia"/>
          <w:sz w:val="24"/>
          <w:szCs w:val="24"/>
        </w:rPr>
        <w:t>五种性能优异的材料。并得到催化剂</w:t>
      </w:r>
      <w:r>
        <w:rPr>
          <w:sz w:val="24"/>
          <w:szCs w:val="24"/>
        </w:rPr>
        <w:t>结构特征，电子结构特征和元素特有特征共23种，1196个数据作为机器学习的源数据</w:t>
      </w:r>
      <w:r>
        <w:rPr>
          <w:rFonts w:hint="eastAsia"/>
          <w:sz w:val="24"/>
          <w:szCs w:val="24"/>
        </w:rPr>
        <w:t>。</w:t>
      </w:r>
    </w:p>
    <w:p>
      <w:pPr>
        <w:spacing w:line="360" w:lineRule="auto"/>
        <w:ind w:firstLine="480" w:firstLineChars="200"/>
        <w:rPr>
          <w:sz w:val="24"/>
          <w:szCs w:val="24"/>
        </w:rPr>
      </w:pPr>
      <w:r>
        <w:rPr>
          <w:sz w:val="24"/>
          <w:szCs w:val="24"/>
        </w:rPr>
        <w:t>在量子化学数据库</w:t>
      </w:r>
      <w:r>
        <w:rPr>
          <w:rFonts w:hint="eastAsia"/>
          <w:sz w:val="24"/>
          <w:szCs w:val="24"/>
        </w:rPr>
        <w:t>构建</w:t>
      </w:r>
      <w:r>
        <w:rPr>
          <w:sz w:val="24"/>
          <w:szCs w:val="24"/>
        </w:rPr>
        <w:t>方面，</w:t>
      </w:r>
      <w:r>
        <w:rPr>
          <w:rFonts w:hint="eastAsia"/>
          <w:sz w:val="24"/>
          <w:szCs w:val="24"/>
        </w:rPr>
        <w:t>我们</w:t>
      </w:r>
      <w:r>
        <w:rPr>
          <w:sz w:val="24"/>
          <w:szCs w:val="24"/>
        </w:rPr>
        <w:t>分</w:t>
      </w:r>
      <w:r>
        <w:rPr>
          <w:rFonts w:hint="eastAsia"/>
          <w:sz w:val="24"/>
          <w:szCs w:val="24"/>
        </w:rPr>
        <w:t>别搭建了</w:t>
      </w:r>
      <w:r>
        <w:rPr>
          <w:sz w:val="24"/>
          <w:szCs w:val="24"/>
        </w:rPr>
        <w:t>计算数据库、文献库和材料数据库。</w:t>
      </w:r>
      <w:r>
        <w:rPr>
          <w:rFonts w:hint="eastAsia"/>
          <w:sz w:val="24"/>
          <w:szCs w:val="24"/>
        </w:rPr>
        <w:t>在计算数据库方面，搭建了约1196个数据的计算数据库，后续会根据计算进度逐步增加；在文献库方面，</w:t>
      </w:r>
      <w:r>
        <w:rPr>
          <w:sz w:val="24"/>
          <w:szCs w:val="24"/>
        </w:rPr>
        <w:t>已初步搭建</w:t>
      </w:r>
      <w:r>
        <w:rPr>
          <w:rFonts w:hint="eastAsia"/>
          <w:sz w:val="24"/>
          <w:szCs w:val="24"/>
          <w:lang w:val="en-US" w:eastAsia="zh-CN"/>
        </w:rPr>
        <w:t>含</w:t>
      </w:r>
      <w:r>
        <w:rPr>
          <w:rFonts w:hint="eastAsia"/>
          <w:sz w:val="24"/>
          <w:szCs w:val="24"/>
        </w:rPr>
        <w:t>111099</w:t>
      </w:r>
      <w:r>
        <w:rPr>
          <w:sz w:val="24"/>
          <w:szCs w:val="24"/>
        </w:rPr>
        <w:t>篇</w:t>
      </w:r>
      <w:r>
        <w:rPr>
          <w:rFonts w:hint="eastAsia"/>
          <w:sz w:val="24"/>
          <w:szCs w:val="24"/>
          <w:lang w:val="en-US" w:eastAsia="zh-CN"/>
        </w:rPr>
        <w:t>文献</w:t>
      </w:r>
      <w:r>
        <w:rPr>
          <w:sz w:val="24"/>
          <w:szCs w:val="24"/>
        </w:rPr>
        <w:t>的文献库，以</w:t>
      </w:r>
      <w:r>
        <w:rPr>
          <w:color w:val="000000"/>
          <w:sz w:val="24"/>
          <w:szCs w:val="24"/>
        </w:rPr>
        <w:t>CSV</w:t>
      </w:r>
      <w:r>
        <w:rPr>
          <w:sz w:val="24"/>
          <w:szCs w:val="24"/>
        </w:rPr>
        <w:t>表格呈现文献中作者、DOI、期刊、摘要等信息。在材料数据库</w:t>
      </w:r>
      <w:r>
        <w:rPr>
          <w:rFonts w:hint="eastAsia"/>
          <w:sz w:val="24"/>
          <w:szCs w:val="24"/>
        </w:rPr>
        <w:t>方面</w:t>
      </w:r>
      <w:r>
        <w:rPr>
          <w:sz w:val="24"/>
          <w:szCs w:val="24"/>
        </w:rPr>
        <w:t>，基于文献库所提供的DOI批量下载PDF，将数据分为实验、量化理论、实验和量化理论共有数据三类，利用ChatGPT提取PDF中的图片以及材料数据等信息</w:t>
      </w:r>
      <w:r>
        <w:rPr>
          <w:rFonts w:hint="eastAsia"/>
          <w:sz w:val="24"/>
          <w:szCs w:val="24"/>
        </w:rPr>
        <w:t>，</w:t>
      </w:r>
      <w:r>
        <w:rPr>
          <w:sz w:val="24"/>
          <w:szCs w:val="24"/>
        </w:rPr>
        <w:t>建成</w:t>
      </w:r>
      <w:r>
        <w:rPr>
          <w:rFonts w:hint="eastAsia"/>
          <w:sz w:val="24"/>
          <w:szCs w:val="24"/>
          <w:lang w:val="en-US" w:eastAsia="zh-CN"/>
        </w:rPr>
        <w:t>含</w:t>
      </w:r>
      <w:r>
        <w:rPr>
          <w:rFonts w:hint="eastAsia"/>
          <w:sz w:val="24"/>
          <w:szCs w:val="24"/>
        </w:rPr>
        <w:t>112000</w:t>
      </w:r>
      <w:r>
        <w:rPr>
          <w:rFonts w:hint="eastAsia"/>
          <w:sz w:val="24"/>
          <w:szCs w:val="24"/>
          <w:lang w:val="en-US" w:eastAsia="zh-CN"/>
        </w:rPr>
        <w:t>个材料</w:t>
      </w:r>
      <w:r>
        <w:rPr>
          <w:sz w:val="24"/>
          <w:szCs w:val="24"/>
        </w:rPr>
        <w:t>的材料数据库。</w:t>
      </w:r>
    </w:p>
    <w:p>
      <w:pPr>
        <w:spacing w:line="360" w:lineRule="auto"/>
        <w:ind w:firstLine="480" w:firstLineChars="200"/>
        <w:rPr>
          <w:sz w:val="24"/>
          <w:szCs w:val="24"/>
        </w:rPr>
      </w:pPr>
      <w:r>
        <w:rPr>
          <w:rFonts w:hint="eastAsia"/>
          <w:sz w:val="24"/>
          <w:szCs w:val="24"/>
        </w:rPr>
        <w:t>在机器学习精准设计方面，</w:t>
      </w:r>
      <w:r>
        <w:rPr>
          <w:sz w:val="24"/>
          <w:szCs w:val="24"/>
          <w:lang w:bidi="ar"/>
        </w:rPr>
        <w:t>探索DFT计算结合ML模型已初具成效，后续将继续采用机器学习技术进行数据挖掘，利用多种机器学习算法（分类、决策树、线性回归、神经网络等）分析反应位点结构特性对活性影响的核心因素，建立材料成分、工艺、微结构、性能之间的关联模型，为后续实现数据库的交互式、可视化设计，建立高效率智能设计平台奠定基础。</w:t>
      </w:r>
    </w:p>
    <w:p>
      <w:pPr>
        <w:spacing w:line="360" w:lineRule="auto"/>
        <w:ind w:firstLine="480" w:firstLineChars="200"/>
      </w:pPr>
      <w:r>
        <w:rPr>
          <w:sz w:val="24"/>
          <w:szCs w:val="24"/>
        </w:rPr>
        <w:t>在这一阶段，</w:t>
      </w:r>
      <w:r>
        <w:rPr>
          <w:rFonts w:hint="eastAsia"/>
          <w:sz w:val="24"/>
          <w:szCs w:val="24"/>
        </w:rPr>
        <w:t>十万条数据库已初步搭建完成，文章已完成，正在投稿中，年度考核指标已全部完成。在本年度内，项目成员</w:t>
      </w:r>
      <w:r>
        <w:rPr>
          <w:sz w:val="24"/>
          <w:szCs w:val="24"/>
        </w:rPr>
        <w:t>每半个月开展</w:t>
      </w:r>
      <w:r>
        <w:rPr>
          <w:rFonts w:hint="eastAsia"/>
          <w:sz w:val="24"/>
          <w:szCs w:val="24"/>
        </w:rPr>
        <w:t>一次</w:t>
      </w:r>
      <w:r>
        <w:rPr>
          <w:sz w:val="24"/>
          <w:szCs w:val="24"/>
        </w:rPr>
        <w:t>交流讨论会，保证课题进度的正常进行，</w:t>
      </w:r>
      <w:r>
        <w:rPr>
          <w:rFonts w:hint="eastAsia"/>
          <w:sz w:val="24"/>
          <w:szCs w:val="24"/>
        </w:rPr>
        <w:t>定期与各课题成员讨论交流，</w:t>
      </w:r>
      <w:r>
        <w:rPr>
          <w:sz w:val="24"/>
          <w:szCs w:val="24"/>
        </w:rPr>
        <w:t>后续将继续保持该工作模式，以确保</w:t>
      </w:r>
      <w:r>
        <w:rPr>
          <w:rFonts w:hint="eastAsia"/>
          <w:sz w:val="24"/>
          <w:szCs w:val="24"/>
        </w:rPr>
        <w:t>课题</w:t>
      </w:r>
      <w:r>
        <w:rPr>
          <w:sz w:val="24"/>
          <w:szCs w:val="24"/>
        </w:rPr>
        <w:t>的正常进行。</w:t>
      </w:r>
      <w:r>
        <w:br w:type="page"/>
      </w:r>
    </w:p>
    <w:p>
      <w:pPr>
        <w:pStyle w:val="2"/>
        <w:spacing w:after="163"/>
        <w:jc w:val="center"/>
      </w:pPr>
      <w:bookmarkStart w:id="105" w:name="_Toc20598"/>
      <w:r>
        <w:t>参考文献</w:t>
      </w:r>
      <w:bookmarkEnd w:id="105"/>
    </w:p>
    <w:p>
      <w:pPr>
        <w:pStyle w:val="36"/>
      </w:pPr>
      <w:r>
        <w:rPr>
          <w:sz w:val="24"/>
          <w:szCs w:val="24"/>
        </w:rPr>
        <w:fldChar w:fldCharType="begin"/>
      </w:r>
      <w:r>
        <w:rPr>
          <w:sz w:val="24"/>
          <w:szCs w:val="24"/>
        </w:rPr>
        <w:instrText xml:space="preserve"> ADDIN EN.REFLIST </w:instrText>
      </w:r>
      <w:r>
        <w:rPr>
          <w:sz w:val="24"/>
          <w:szCs w:val="24"/>
        </w:rPr>
        <w:fldChar w:fldCharType="separate"/>
      </w:r>
      <w:r>
        <w:t xml:space="preserve">[1]  VahidMohammadi, A.;  Rosen, J.; Gogotsi, Y., The world of two-dimensional carbides and nitrides </w:t>
      </w:r>
      <w:r>
        <w:rPr>
          <w:rFonts w:hint="eastAsia"/>
          <w:lang w:val="en-US" w:eastAsia="zh-CN"/>
        </w:rPr>
        <w:t>(</w:t>
      </w:r>
      <w:r>
        <w:t>MXenes</w:t>
      </w:r>
      <w:r>
        <w:rPr>
          <w:rFonts w:hint="eastAsia"/>
          <w:lang w:eastAsia="zh-CN"/>
        </w:rPr>
        <w:t>)</w:t>
      </w:r>
      <w:r>
        <w:t xml:space="preserve">. </w:t>
      </w:r>
      <w:r>
        <w:rPr>
          <w:b/>
        </w:rPr>
        <w:t>2021,</w:t>
      </w:r>
      <w:r>
        <w:t xml:space="preserve"> </w:t>
      </w:r>
      <w:r>
        <w:rPr>
          <w:i/>
        </w:rPr>
        <w:t>372</w:t>
      </w:r>
      <w:r>
        <w:t xml:space="preserve"> </w:t>
      </w:r>
      <w:r>
        <w:rPr>
          <w:rFonts w:hint="eastAsia"/>
          <w:lang w:eastAsia="zh-CN"/>
        </w:rPr>
        <w:t>(</w:t>
      </w:r>
      <w:r>
        <w:t>6547</w:t>
      </w:r>
      <w:r>
        <w:rPr>
          <w:rFonts w:hint="eastAsia"/>
          <w:lang w:eastAsia="zh-CN"/>
        </w:rPr>
        <w:t>)</w:t>
      </w:r>
      <w:r>
        <w:t>, eabf1581.</w:t>
      </w:r>
    </w:p>
    <w:p>
      <w:pPr>
        <w:pStyle w:val="36"/>
      </w:pPr>
      <w:r>
        <w:t xml:space="preserve">[2]  Tang, X.;  Zhou, D.;  Li, P., et al., MXene-Based Dendrite-Free Potassium Metal Batteries. </w:t>
      </w:r>
      <w:r>
        <w:rPr>
          <w:b/>
        </w:rPr>
        <w:t>2020,</w:t>
      </w:r>
      <w:r>
        <w:t xml:space="preserve"> </w:t>
      </w:r>
      <w:r>
        <w:rPr>
          <w:i/>
        </w:rPr>
        <w:t>32</w:t>
      </w:r>
      <w:r>
        <w:t xml:space="preserve"> </w:t>
      </w:r>
      <w:r>
        <w:rPr>
          <w:rFonts w:hint="eastAsia"/>
          <w:lang w:eastAsia="zh-CN"/>
        </w:rPr>
        <w:t>(</w:t>
      </w:r>
      <w:r>
        <w:t>4</w:t>
      </w:r>
      <w:r>
        <w:rPr>
          <w:rFonts w:hint="eastAsia"/>
          <w:lang w:eastAsia="zh-CN"/>
        </w:rPr>
        <w:t>)</w:t>
      </w:r>
      <w:r>
        <w:t>, 1906739.</w:t>
      </w:r>
    </w:p>
    <w:p>
      <w:pPr>
        <w:pStyle w:val="36"/>
      </w:pPr>
      <w:r>
        <w:t>[3]  Jiang, Y.;  Sun, T.;  Xie, X., et al., Oxygen-Functionalized Ultrathin Ti</w:t>
      </w:r>
      <w:r>
        <w:rPr>
          <w:rFonts w:hint="eastAsia"/>
          <w:lang w:eastAsia="zh-CN"/>
        </w:rPr>
        <w:t>(</w:t>
      </w:r>
      <w:r>
        <w:t>3</w:t>
      </w:r>
      <w:r>
        <w:rPr>
          <w:rFonts w:hint="eastAsia"/>
          <w:lang w:eastAsia="zh-CN"/>
        </w:rPr>
        <w:t>)</w:t>
      </w:r>
      <w:r>
        <w:t xml:space="preserve"> C</w:t>
      </w:r>
      <w:r>
        <w:rPr>
          <w:rFonts w:hint="eastAsia"/>
          <w:lang w:eastAsia="zh-CN"/>
        </w:rPr>
        <w:t>(</w:t>
      </w:r>
      <w:r>
        <w:t>2</w:t>
      </w:r>
      <w:r>
        <w:rPr>
          <w:rFonts w:hint="eastAsia"/>
          <w:lang w:eastAsia="zh-CN"/>
        </w:rPr>
        <w:t>)</w:t>
      </w:r>
      <w:r>
        <w:t xml:space="preserve"> T</w:t>
      </w:r>
      <w:r>
        <w:rPr>
          <w:rFonts w:hint="eastAsia"/>
          <w:lang w:eastAsia="zh-CN"/>
        </w:rPr>
        <w:t>(</w:t>
      </w:r>
      <w:r>
        <w:t>x</w:t>
      </w:r>
      <w:r>
        <w:rPr>
          <w:rFonts w:hint="eastAsia"/>
          <w:lang w:eastAsia="zh-CN"/>
        </w:rPr>
        <w:t>)</w:t>
      </w:r>
      <w:r>
        <w:t xml:space="preserve"> MXene for Enhanced Electrocatalytic Hydrogen Evolution. </w:t>
      </w:r>
      <w:r>
        <w:rPr>
          <w:i/>
        </w:rPr>
        <w:t xml:space="preserve">ChemSusChem </w:t>
      </w:r>
      <w:r>
        <w:rPr>
          <w:b/>
        </w:rPr>
        <w:t>2019,</w:t>
      </w:r>
      <w:r>
        <w:t xml:space="preserve"> </w:t>
      </w:r>
      <w:r>
        <w:rPr>
          <w:i/>
        </w:rPr>
        <w:t>12</w:t>
      </w:r>
      <w:r>
        <w:t xml:space="preserve"> </w:t>
      </w:r>
      <w:r>
        <w:rPr>
          <w:rFonts w:hint="eastAsia"/>
          <w:lang w:eastAsia="zh-CN"/>
        </w:rPr>
        <w:t>(</w:t>
      </w:r>
      <w:r>
        <w:t>7</w:t>
      </w:r>
      <w:r>
        <w:rPr>
          <w:rFonts w:hint="eastAsia"/>
          <w:lang w:eastAsia="zh-CN"/>
        </w:rPr>
        <w:t>)</w:t>
      </w:r>
      <w:r>
        <w:t>, 1368-1373.</w:t>
      </w:r>
    </w:p>
    <w:p>
      <w:pPr>
        <w:pStyle w:val="36"/>
      </w:pPr>
      <w:r>
        <w:t xml:space="preserve">[4]  Anand, R.;  Nissimagoudar, A. S.;  Umer, M., et al., Late Transition Metal Doped MXenes Showing Superb Bifunctional Electrocatalytic Activities for Water Splitting via Distinctive Mechanistic Pathways. </w:t>
      </w:r>
      <w:r>
        <w:rPr>
          <w:i/>
        </w:rPr>
        <w:t xml:space="preserve">Advanced Energy Materials </w:t>
      </w:r>
      <w:r>
        <w:rPr>
          <w:b/>
        </w:rPr>
        <w:t>2021,</w:t>
      </w:r>
      <w:r>
        <w:t xml:space="preserve"> </w:t>
      </w:r>
      <w:r>
        <w:rPr>
          <w:i/>
        </w:rPr>
        <w:t>11</w:t>
      </w:r>
      <w:r>
        <w:t xml:space="preserve"> </w:t>
      </w:r>
      <w:r>
        <w:rPr>
          <w:rFonts w:hint="eastAsia"/>
          <w:lang w:eastAsia="zh-CN"/>
        </w:rPr>
        <w:t>(</w:t>
      </w:r>
      <w:r>
        <w:t>48</w:t>
      </w:r>
      <w:r>
        <w:rPr>
          <w:rFonts w:hint="eastAsia"/>
          <w:lang w:eastAsia="zh-CN"/>
        </w:rPr>
        <w:t>)</w:t>
      </w:r>
      <w:r>
        <w:t>.</w:t>
      </w:r>
    </w:p>
    <w:p>
      <w:pPr>
        <w:pStyle w:val="36"/>
      </w:pPr>
      <w:r>
        <w:t xml:space="preserve">[5]  Anasori, B.; Lukatskaya, M. R.; Gogotsi, Y., 2D metal carbides and nitrides </w:t>
      </w:r>
      <w:r>
        <w:rPr>
          <w:rFonts w:hint="eastAsia"/>
          <w:lang w:eastAsia="zh-CN"/>
        </w:rPr>
        <w:t>(</w:t>
      </w:r>
      <w:r>
        <w:t>MXenes</w:t>
      </w:r>
      <w:r>
        <w:rPr>
          <w:rFonts w:hint="eastAsia"/>
          <w:lang w:eastAsia="zh-CN"/>
        </w:rPr>
        <w:t>)</w:t>
      </w:r>
      <w:r>
        <w:t xml:space="preserve"> for energy storage. </w:t>
      </w:r>
      <w:r>
        <w:rPr>
          <w:i/>
        </w:rPr>
        <w:t xml:space="preserve">Nature Reviews Materials </w:t>
      </w:r>
      <w:r>
        <w:rPr>
          <w:b/>
        </w:rPr>
        <w:t>2017,</w:t>
      </w:r>
      <w:r>
        <w:t xml:space="preserve"> </w:t>
      </w:r>
      <w:r>
        <w:rPr>
          <w:i/>
        </w:rPr>
        <w:t>2</w:t>
      </w:r>
      <w:r>
        <w:t xml:space="preserve"> </w:t>
      </w:r>
      <w:r>
        <w:rPr>
          <w:rFonts w:hint="eastAsia"/>
          <w:lang w:eastAsia="zh-CN"/>
        </w:rPr>
        <w:t>(</w:t>
      </w:r>
      <w:r>
        <w:t>2</w:t>
      </w:r>
      <w:r>
        <w:rPr>
          <w:rFonts w:hint="eastAsia"/>
          <w:lang w:eastAsia="zh-CN"/>
        </w:rPr>
        <w:t>)</w:t>
      </w:r>
      <w:r>
        <w:t>, 16098.</w:t>
      </w:r>
    </w:p>
    <w:p>
      <w:pPr>
        <w:pStyle w:val="36"/>
      </w:pPr>
      <w:r>
        <w:t>[6]  Gan, J.;  Li, F.;  Tang, Y., et al., Theoretical Study of Transition-Metal-Modified Mo</w:t>
      </w:r>
      <w:r>
        <w:rPr>
          <w:rFonts w:hint="eastAsia"/>
          <w:lang w:eastAsia="zh-CN"/>
        </w:rPr>
        <w:t>(</w:t>
      </w:r>
      <w:r>
        <w:t>2</w:t>
      </w:r>
      <w:r>
        <w:rPr>
          <w:rFonts w:hint="eastAsia"/>
          <w:lang w:eastAsia="zh-CN"/>
        </w:rPr>
        <w:t>)</w:t>
      </w:r>
      <w:r>
        <w:t xml:space="preserve"> CO</w:t>
      </w:r>
      <w:r>
        <w:rPr>
          <w:rFonts w:hint="eastAsia"/>
          <w:lang w:eastAsia="zh-CN"/>
        </w:rPr>
        <w:t>(</w:t>
      </w:r>
      <w:r>
        <w:t>2</w:t>
      </w:r>
      <w:r>
        <w:rPr>
          <w:rFonts w:hint="eastAsia"/>
          <w:lang w:eastAsia="zh-CN"/>
        </w:rPr>
        <w:t>)</w:t>
      </w:r>
      <w:r>
        <w:t xml:space="preserve"> MXene as a Catalyst for the Hydrogen Evolution Reaction. </w:t>
      </w:r>
      <w:r>
        <w:rPr>
          <w:i/>
        </w:rPr>
        <w:t xml:space="preserve">ChemSusChem </w:t>
      </w:r>
      <w:r>
        <w:rPr>
          <w:b/>
        </w:rPr>
        <w:t>2020,</w:t>
      </w:r>
      <w:r>
        <w:t xml:space="preserve"> </w:t>
      </w:r>
      <w:r>
        <w:rPr>
          <w:i/>
        </w:rPr>
        <w:t>13</w:t>
      </w:r>
      <w:r>
        <w:t xml:space="preserve"> </w:t>
      </w:r>
      <w:r>
        <w:rPr>
          <w:rFonts w:hint="eastAsia"/>
          <w:lang w:eastAsia="zh-CN"/>
        </w:rPr>
        <w:t>(</w:t>
      </w:r>
      <w:r>
        <w:t>22</w:t>
      </w:r>
      <w:r>
        <w:rPr>
          <w:rFonts w:hint="eastAsia"/>
          <w:lang w:eastAsia="zh-CN"/>
        </w:rPr>
        <w:t>)</w:t>
      </w:r>
      <w:r>
        <w:t>, 6005-6015.</w:t>
      </w:r>
    </w:p>
    <w:p>
      <w:pPr>
        <w:pStyle w:val="36"/>
      </w:pPr>
      <w:r>
        <w:t xml:space="preserve">[7]  Pandey, M.; Thygesen, K. S., Two-Dimensional MXenes as Catalysts for Electrochemical Hydrogen Evolution: A Computational Screening Study. </w:t>
      </w:r>
      <w:r>
        <w:rPr>
          <w:i/>
        </w:rPr>
        <w:t xml:space="preserve">J. Phys. Chem. C </w:t>
      </w:r>
      <w:r>
        <w:rPr>
          <w:b/>
        </w:rPr>
        <w:t>2017,</w:t>
      </w:r>
      <w:r>
        <w:t xml:space="preserve"> </w:t>
      </w:r>
      <w:r>
        <w:rPr>
          <w:i/>
        </w:rPr>
        <w:t>121</w:t>
      </w:r>
      <w:r>
        <w:t xml:space="preserve"> </w:t>
      </w:r>
      <w:r>
        <w:rPr>
          <w:rFonts w:hint="eastAsia"/>
          <w:lang w:eastAsia="zh-CN"/>
        </w:rPr>
        <w:t>(</w:t>
      </w:r>
      <w:r>
        <w:t>25</w:t>
      </w:r>
      <w:r>
        <w:rPr>
          <w:rFonts w:hint="eastAsia"/>
          <w:lang w:eastAsia="zh-CN"/>
        </w:rPr>
        <w:t>)</w:t>
      </w:r>
      <w:r>
        <w:t>, 13593-13598.</w:t>
      </w:r>
    </w:p>
    <w:p>
      <w:pPr>
        <w:pStyle w:val="36"/>
      </w:pPr>
      <w:r>
        <w:t xml:space="preserve">[8]  Gao, Y.;  Cao, Y.;  Gu, Y., et al., Functionalization Ti3C2 MXene by the adsorption or substitution of single metal atom. </w:t>
      </w:r>
      <w:r>
        <w:rPr>
          <w:i/>
        </w:rPr>
        <w:t xml:space="preserve">Applied Surface Science </w:t>
      </w:r>
      <w:r>
        <w:rPr>
          <w:b/>
        </w:rPr>
        <w:t>2019,</w:t>
      </w:r>
      <w:r>
        <w:t xml:space="preserve"> </w:t>
      </w:r>
      <w:r>
        <w:rPr>
          <w:i/>
        </w:rPr>
        <w:t>465</w:t>
      </w:r>
      <w:r>
        <w:t>, 911-918.</w:t>
      </w:r>
    </w:p>
    <w:p>
      <w:pPr>
        <w:pStyle w:val="36"/>
      </w:pPr>
      <w:r>
        <w:t xml:space="preserve">[9]  Gu, Y.;  Wei, B.;  Legut, D., et al., Single Atom‐Modified Hybrid Transition Metal Carbides as Efficient Hydrogen Evolution Reaction Catalysts. </w:t>
      </w:r>
      <w:r>
        <w:rPr>
          <w:i/>
        </w:rPr>
        <w:t xml:space="preserve">Adv. Funct. Mater. </w:t>
      </w:r>
      <w:r>
        <w:rPr>
          <w:b/>
        </w:rPr>
        <w:t>2021,</w:t>
      </w:r>
      <w:r>
        <w:t xml:space="preserve"> </w:t>
      </w:r>
      <w:r>
        <w:rPr>
          <w:i/>
        </w:rPr>
        <w:t>31</w:t>
      </w:r>
      <w:r>
        <w:t xml:space="preserve"> </w:t>
      </w:r>
      <w:r>
        <w:rPr>
          <w:rFonts w:hint="eastAsia"/>
          <w:lang w:eastAsia="zh-CN"/>
        </w:rPr>
        <w:t>(</w:t>
      </w:r>
      <w:r>
        <w:t>43</w:t>
      </w:r>
      <w:r>
        <w:rPr>
          <w:rFonts w:hint="eastAsia"/>
          <w:lang w:eastAsia="zh-CN"/>
        </w:rPr>
        <w:t>)</w:t>
      </w:r>
      <w:r>
        <w:t>.</w:t>
      </w:r>
    </w:p>
    <w:p>
      <w:pPr>
        <w:pStyle w:val="36"/>
      </w:pPr>
      <w:r>
        <w:t xml:space="preserve">[10]  Ling, C.;  Shi, L.;  Ouyang, Y., et al., Searching for Highly Active Catalysts for Hydrogen Evolution Reaction Based on O-Terminated MXenes through a Simple Descriptor. </w:t>
      </w:r>
      <w:r>
        <w:rPr>
          <w:i/>
        </w:rPr>
        <w:t xml:space="preserve">Chemistry of Materials </w:t>
      </w:r>
      <w:r>
        <w:rPr>
          <w:b/>
        </w:rPr>
        <w:t>2016,</w:t>
      </w:r>
      <w:r>
        <w:t xml:space="preserve"> </w:t>
      </w:r>
      <w:r>
        <w:rPr>
          <w:i/>
        </w:rPr>
        <w:t>28</w:t>
      </w:r>
      <w:r>
        <w:t xml:space="preserve"> </w:t>
      </w:r>
      <w:r>
        <w:rPr>
          <w:rFonts w:hint="eastAsia"/>
          <w:lang w:eastAsia="zh-CN"/>
        </w:rPr>
        <w:t>(</w:t>
      </w:r>
      <w:r>
        <w:t>24</w:t>
      </w:r>
      <w:r>
        <w:rPr>
          <w:rFonts w:hint="eastAsia"/>
          <w:lang w:eastAsia="zh-CN"/>
        </w:rPr>
        <w:t>)</w:t>
      </w:r>
      <w:r>
        <w:t>, 9026-9032.</w:t>
      </w:r>
    </w:p>
    <w:p>
      <w:pPr>
        <w:pStyle w:val="36"/>
      </w:pPr>
      <w:r>
        <w:t xml:space="preserve">[11]  Zhang, X.;  Chen, L.;  Sun, Q., et al., Modulating oxygen electronic orbital occupancy of Cr-based MXenes via transition metal adsorbing for optimal HER activity. </w:t>
      </w:r>
      <w:r>
        <w:rPr>
          <w:i/>
        </w:rPr>
        <w:t xml:space="preserve">International Journal of Hydrogen Energy </w:t>
      </w:r>
      <w:r>
        <w:rPr>
          <w:b/>
        </w:rPr>
        <w:t>2021,</w:t>
      </w:r>
      <w:r>
        <w:t xml:space="preserve"> </w:t>
      </w:r>
      <w:r>
        <w:rPr>
          <w:i/>
        </w:rPr>
        <w:t>46</w:t>
      </w:r>
      <w:r>
        <w:t xml:space="preserve"> </w:t>
      </w:r>
      <w:r>
        <w:rPr>
          <w:rFonts w:hint="eastAsia"/>
          <w:lang w:eastAsia="zh-CN"/>
        </w:rPr>
        <w:t>(</w:t>
      </w:r>
      <w:r>
        <w:t>50</w:t>
      </w:r>
      <w:r>
        <w:rPr>
          <w:rFonts w:hint="eastAsia"/>
          <w:lang w:eastAsia="zh-CN"/>
        </w:rPr>
        <w:t>)</w:t>
      </w:r>
      <w:r>
        <w:t>, 25457-25467.</w:t>
      </w:r>
    </w:p>
    <w:p>
      <w:pPr>
        <w:pStyle w:val="36"/>
      </w:pPr>
      <w:r>
        <w:t xml:space="preserve">[12]  Shen, Z.;  Fan, X.;  Ma, S., et al., 3d transitional-metal single atom catalysis toward hydrogen evolution reaction on MXenes supports. </w:t>
      </w:r>
      <w:r>
        <w:rPr>
          <w:i/>
        </w:rPr>
        <w:t xml:space="preserve">International Journal of Hydrogen Energy </w:t>
      </w:r>
      <w:r>
        <w:rPr>
          <w:b/>
        </w:rPr>
        <w:t>2020,</w:t>
      </w:r>
      <w:r>
        <w:t xml:space="preserve"> </w:t>
      </w:r>
      <w:r>
        <w:rPr>
          <w:i/>
        </w:rPr>
        <w:t>45</w:t>
      </w:r>
      <w:r>
        <w:t xml:space="preserve"> </w:t>
      </w:r>
      <w:r>
        <w:rPr>
          <w:rFonts w:hint="eastAsia"/>
          <w:lang w:eastAsia="zh-CN"/>
        </w:rPr>
        <w:t>(</w:t>
      </w:r>
      <w:r>
        <w:t>28</w:t>
      </w:r>
      <w:r>
        <w:rPr>
          <w:rFonts w:hint="eastAsia"/>
          <w:lang w:eastAsia="zh-CN"/>
        </w:rPr>
        <w:t>)</w:t>
      </w:r>
      <w:r>
        <w:t>, 14396-14406.</w:t>
      </w:r>
    </w:p>
    <w:p>
      <w:pPr>
        <w:pStyle w:val="36"/>
      </w:pPr>
      <w:r>
        <w:t xml:space="preserve">[13]  Zheng, J.;  Sun, X.;  Qiu, C., et al., High-Throughput Screening of Hydrogen Evolution Reaction Catalysts in MXene Materials. </w:t>
      </w:r>
      <w:r>
        <w:rPr>
          <w:i/>
        </w:rPr>
        <w:t xml:space="preserve">J. Phys. Chem. C </w:t>
      </w:r>
      <w:r>
        <w:rPr>
          <w:b/>
        </w:rPr>
        <w:t>2020,</w:t>
      </w:r>
      <w:r>
        <w:t xml:space="preserve"> </w:t>
      </w:r>
      <w:r>
        <w:rPr>
          <w:i/>
        </w:rPr>
        <w:t>124</w:t>
      </w:r>
      <w:r>
        <w:t xml:space="preserve"> </w:t>
      </w:r>
      <w:r>
        <w:rPr>
          <w:rFonts w:hint="eastAsia"/>
          <w:lang w:eastAsia="zh-CN"/>
        </w:rPr>
        <w:t>(</w:t>
      </w:r>
      <w:r>
        <w:t>25</w:t>
      </w:r>
      <w:r>
        <w:rPr>
          <w:rFonts w:hint="eastAsia"/>
          <w:lang w:eastAsia="zh-CN"/>
        </w:rPr>
        <w:t>)</w:t>
      </w:r>
      <w:r>
        <w:t>, 13695-13705.</w:t>
      </w:r>
    </w:p>
    <w:p>
      <w:pPr>
        <w:pStyle w:val="36"/>
      </w:pPr>
      <w:r>
        <w:t xml:space="preserve">[14]  Goltl, F.;  Müller, P.;  Uchupalanun, P., et al., Developing a descriptor-based approach for CO and NO adsorption strength to transition metal sites in zeolites. </w:t>
      </w:r>
      <w:r>
        <w:rPr>
          <w:b/>
        </w:rPr>
        <w:t>2017,</w:t>
      </w:r>
      <w:r>
        <w:t xml:space="preserve"> </w:t>
      </w:r>
      <w:r>
        <w:rPr>
          <w:i/>
        </w:rPr>
        <w:t>29</w:t>
      </w:r>
      <w:r>
        <w:t xml:space="preserve"> </w:t>
      </w:r>
      <w:r>
        <w:rPr>
          <w:rFonts w:hint="eastAsia"/>
          <w:lang w:eastAsia="zh-CN"/>
        </w:rPr>
        <w:t>(</w:t>
      </w:r>
      <w:r>
        <w:t>15</w:t>
      </w:r>
      <w:r>
        <w:rPr>
          <w:rFonts w:hint="eastAsia"/>
          <w:lang w:eastAsia="zh-CN"/>
        </w:rPr>
        <w:t>)</w:t>
      </w:r>
      <w:r>
        <w:t>, 6434-6444.</w:t>
      </w:r>
    </w:p>
    <w:p>
      <w:pPr>
        <w:spacing w:line="360" w:lineRule="auto"/>
      </w:pPr>
      <w:r>
        <w:rPr>
          <w:sz w:val="24"/>
          <w:szCs w:val="24"/>
        </w:rPr>
        <w:fldChar w:fldCharType="end"/>
      </w:r>
    </w:p>
    <w:sectPr>
      <w:footerReference r:id="rId4" w:type="default"/>
      <w:pgSz w:w="11906" w:h="16838"/>
      <w:pgMar w:top="1440" w:right="1800" w:bottom="1440" w:left="1800" w:header="851" w:footer="992"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G Times">
    <w:altName w:val="Times New Roman"/>
    <w:panose1 w:val="00000000000000000000"/>
    <w:charset w:val="00"/>
    <w:family w:val="roman"/>
    <w:pitch w:val="default"/>
    <w:sig w:usb0="00000000" w:usb1="00000000" w:usb2="00000000" w:usb3="00000000" w:csb0="00000093" w:csb1="00000000"/>
  </w:font>
  <w:font w:name="方正小标宋_GBK">
    <w:altName w:val="微软雅黑"/>
    <w:panose1 w:val="00000000000000000000"/>
    <w:charset w:val="86"/>
    <w:family w:val="script"/>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52F93"/>
    <w:multiLevelType w:val="singleLevel"/>
    <w:tmpl w:val="8EF52F93"/>
    <w:lvl w:ilvl="0" w:tentative="0">
      <w:start w:val="2"/>
      <w:numFmt w:val="decimal"/>
      <w:suff w:val="nothing"/>
      <w:lvlText w:val="（%1）"/>
      <w:lvlJc w:val="left"/>
    </w:lvl>
  </w:abstractNum>
  <w:abstractNum w:abstractNumId="1">
    <w:nsid w:val="3301F9B7"/>
    <w:multiLevelType w:val="singleLevel"/>
    <w:tmpl w:val="3301F9B7"/>
    <w:lvl w:ilvl="0" w:tentative="0">
      <w:start w:val="2"/>
      <w:numFmt w:val="decimal"/>
      <w:suff w:val="space"/>
      <w:lvlText w:val="(%1)"/>
      <w:lvlJc w:val="left"/>
    </w:lvl>
  </w:abstractNum>
  <w:abstractNum w:abstractNumId="2">
    <w:nsid w:val="726EB58F"/>
    <w:multiLevelType w:val="singleLevel"/>
    <w:tmpl w:val="726EB58F"/>
    <w:lvl w:ilvl="0" w:tentative="0">
      <w:start w:val="1"/>
      <w:numFmt w:val="lowerLetter"/>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I2ZGUzMzc3M2JkY2Q2NmY5ODA0OGZiMTMyZmRlNTQifQ=="/>
    <w:docVar w:name="EN.InstantFormat" w:val="&lt;ENInstantFormat&gt;&lt;Enabled&gt;1&lt;/Enabled&gt;&lt;ScanUnformatted&gt;1&lt;/ScanUnformatted&gt;&lt;ScanChanges&gt;1&lt;/ScanChanges&gt;&lt;Suspended&gt;0&lt;/Suspended&gt;&lt;/ENInstantFormat&gt;"/>
    <w:docVar w:name="EN.Layout" w:val="&lt;ENLayout&gt;&lt;Style&gt;ACS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rrvsre999902pep9fb5vzfmxtx2s0vssz29&quot;&gt;My EndNote Library&lt;record-ids&gt;&lt;item&gt;672&lt;/item&gt;&lt;item&gt;674&lt;/item&gt;&lt;item&gt;699&lt;/item&gt;&lt;item&gt;707&lt;/item&gt;&lt;item&gt;723&lt;/item&gt;&lt;item&gt;724&lt;/item&gt;&lt;item&gt;727&lt;/item&gt;&lt;item&gt;740&lt;/item&gt;&lt;item&gt;741&lt;/item&gt;&lt;item&gt;742&lt;/item&gt;&lt;item&gt;744&lt;/item&gt;&lt;item&gt;745&lt;/item&gt;&lt;item&gt;757&lt;/item&gt;&lt;item&gt;760&lt;/item&gt;&lt;/record-ids&gt;&lt;/item&gt;&lt;/Libraries&gt;"/>
  </w:docVars>
  <w:rsids>
    <w:rsidRoot w:val="00172A27"/>
    <w:rsid w:val="000037B7"/>
    <w:rsid w:val="000046DB"/>
    <w:rsid w:val="0003369C"/>
    <w:rsid w:val="00050683"/>
    <w:rsid w:val="00073CA5"/>
    <w:rsid w:val="000F7ACA"/>
    <w:rsid w:val="00112CE7"/>
    <w:rsid w:val="00117D12"/>
    <w:rsid w:val="001333AA"/>
    <w:rsid w:val="00157FA7"/>
    <w:rsid w:val="0016476A"/>
    <w:rsid w:val="00172A27"/>
    <w:rsid w:val="002147EA"/>
    <w:rsid w:val="0026379B"/>
    <w:rsid w:val="002A3D33"/>
    <w:rsid w:val="002C352B"/>
    <w:rsid w:val="00313F1A"/>
    <w:rsid w:val="00324B9E"/>
    <w:rsid w:val="00345197"/>
    <w:rsid w:val="0037261A"/>
    <w:rsid w:val="003866E0"/>
    <w:rsid w:val="003A322B"/>
    <w:rsid w:val="003D1E4B"/>
    <w:rsid w:val="003E2F07"/>
    <w:rsid w:val="003E5EF5"/>
    <w:rsid w:val="00403904"/>
    <w:rsid w:val="004136B4"/>
    <w:rsid w:val="004235C7"/>
    <w:rsid w:val="00425F86"/>
    <w:rsid w:val="00445B98"/>
    <w:rsid w:val="00471694"/>
    <w:rsid w:val="00484F70"/>
    <w:rsid w:val="00494233"/>
    <w:rsid w:val="004B5EEB"/>
    <w:rsid w:val="00530FA8"/>
    <w:rsid w:val="00561FC4"/>
    <w:rsid w:val="005861AC"/>
    <w:rsid w:val="005D49BC"/>
    <w:rsid w:val="005D76DC"/>
    <w:rsid w:val="0067722F"/>
    <w:rsid w:val="006874FC"/>
    <w:rsid w:val="006A7110"/>
    <w:rsid w:val="006D0DFC"/>
    <w:rsid w:val="006D3032"/>
    <w:rsid w:val="006D66E9"/>
    <w:rsid w:val="00717B5D"/>
    <w:rsid w:val="007A2452"/>
    <w:rsid w:val="00837C97"/>
    <w:rsid w:val="00845A38"/>
    <w:rsid w:val="00863C20"/>
    <w:rsid w:val="0086431E"/>
    <w:rsid w:val="0089676B"/>
    <w:rsid w:val="008A52F2"/>
    <w:rsid w:val="008B2549"/>
    <w:rsid w:val="008D7757"/>
    <w:rsid w:val="008D7CA9"/>
    <w:rsid w:val="008F79D4"/>
    <w:rsid w:val="009061C9"/>
    <w:rsid w:val="009307CC"/>
    <w:rsid w:val="00935BBC"/>
    <w:rsid w:val="009517D1"/>
    <w:rsid w:val="0098502C"/>
    <w:rsid w:val="009A2DDC"/>
    <w:rsid w:val="009D0F50"/>
    <w:rsid w:val="00A40522"/>
    <w:rsid w:val="00A54F42"/>
    <w:rsid w:val="00A644C2"/>
    <w:rsid w:val="00B06934"/>
    <w:rsid w:val="00BC302B"/>
    <w:rsid w:val="00BC3501"/>
    <w:rsid w:val="00C04C64"/>
    <w:rsid w:val="00C85336"/>
    <w:rsid w:val="00C87868"/>
    <w:rsid w:val="00CB222D"/>
    <w:rsid w:val="00CD77EF"/>
    <w:rsid w:val="00D16E1F"/>
    <w:rsid w:val="00D647E0"/>
    <w:rsid w:val="00DA194D"/>
    <w:rsid w:val="00DB0C9D"/>
    <w:rsid w:val="00DB38E2"/>
    <w:rsid w:val="00DC1F49"/>
    <w:rsid w:val="00DD1DA7"/>
    <w:rsid w:val="00DF5C44"/>
    <w:rsid w:val="00DF7183"/>
    <w:rsid w:val="00E80CC3"/>
    <w:rsid w:val="00EB1C0E"/>
    <w:rsid w:val="00EE4197"/>
    <w:rsid w:val="00F54F49"/>
    <w:rsid w:val="00F61F91"/>
    <w:rsid w:val="00F916E3"/>
    <w:rsid w:val="00FA2EA8"/>
    <w:rsid w:val="00FC6342"/>
    <w:rsid w:val="00FD5499"/>
    <w:rsid w:val="01303AC5"/>
    <w:rsid w:val="01C012ED"/>
    <w:rsid w:val="025D08EA"/>
    <w:rsid w:val="027416B5"/>
    <w:rsid w:val="02B7624C"/>
    <w:rsid w:val="02BC3862"/>
    <w:rsid w:val="030671D3"/>
    <w:rsid w:val="03B135A0"/>
    <w:rsid w:val="03C350C4"/>
    <w:rsid w:val="04471852"/>
    <w:rsid w:val="045B70AB"/>
    <w:rsid w:val="047B66DC"/>
    <w:rsid w:val="04AB0032"/>
    <w:rsid w:val="04F067A7"/>
    <w:rsid w:val="062A4F87"/>
    <w:rsid w:val="0696261C"/>
    <w:rsid w:val="070954E4"/>
    <w:rsid w:val="07686B6F"/>
    <w:rsid w:val="078C5378"/>
    <w:rsid w:val="07C37441"/>
    <w:rsid w:val="082C4FE6"/>
    <w:rsid w:val="08762705"/>
    <w:rsid w:val="08D538D0"/>
    <w:rsid w:val="08D86F1C"/>
    <w:rsid w:val="08E51639"/>
    <w:rsid w:val="09216B15"/>
    <w:rsid w:val="097E3F67"/>
    <w:rsid w:val="09C9096D"/>
    <w:rsid w:val="0A691BD4"/>
    <w:rsid w:val="0A8729A8"/>
    <w:rsid w:val="0AA277E2"/>
    <w:rsid w:val="0B3F54E4"/>
    <w:rsid w:val="0CC25F19"/>
    <w:rsid w:val="0CCC48E0"/>
    <w:rsid w:val="0CDB1D98"/>
    <w:rsid w:val="0D0567F0"/>
    <w:rsid w:val="0D71793F"/>
    <w:rsid w:val="0E0C0115"/>
    <w:rsid w:val="0E8A515C"/>
    <w:rsid w:val="0F6239E3"/>
    <w:rsid w:val="117417AC"/>
    <w:rsid w:val="11755B7F"/>
    <w:rsid w:val="118A0FD0"/>
    <w:rsid w:val="11C72224"/>
    <w:rsid w:val="127C4DBC"/>
    <w:rsid w:val="13076D7C"/>
    <w:rsid w:val="134F0723"/>
    <w:rsid w:val="139E0D62"/>
    <w:rsid w:val="13B14C4E"/>
    <w:rsid w:val="14551D69"/>
    <w:rsid w:val="14B7314C"/>
    <w:rsid w:val="14BE790E"/>
    <w:rsid w:val="14DD6BBD"/>
    <w:rsid w:val="14E32ED1"/>
    <w:rsid w:val="150D2643"/>
    <w:rsid w:val="15485429"/>
    <w:rsid w:val="15747FCD"/>
    <w:rsid w:val="159E329B"/>
    <w:rsid w:val="15D52FE3"/>
    <w:rsid w:val="15EF58A5"/>
    <w:rsid w:val="1626576B"/>
    <w:rsid w:val="163254FA"/>
    <w:rsid w:val="167C656B"/>
    <w:rsid w:val="16B40FC8"/>
    <w:rsid w:val="16CA259A"/>
    <w:rsid w:val="16DA0303"/>
    <w:rsid w:val="171001C9"/>
    <w:rsid w:val="17C57205"/>
    <w:rsid w:val="17FF2717"/>
    <w:rsid w:val="18504D21"/>
    <w:rsid w:val="1A086DAE"/>
    <w:rsid w:val="1A302598"/>
    <w:rsid w:val="1A3F329F"/>
    <w:rsid w:val="1A9E092D"/>
    <w:rsid w:val="1AB570BD"/>
    <w:rsid w:val="1AF23E6D"/>
    <w:rsid w:val="1B9D0456"/>
    <w:rsid w:val="1BAD4238"/>
    <w:rsid w:val="1C3A7C3D"/>
    <w:rsid w:val="1CA27617"/>
    <w:rsid w:val="1CCB3B9A"/>
    <w:rsid w:val="1D411C70"/>
    <w:rsid w:val="1D5A03F0"/>
    <w:rsid w:val="1D631052"/>
    <w:rsid w:val="1D666D95"/>
    <w:rsid w:val="1D790876"/>
    <w:rsid w:val="1D9E652E"/>
    <w:rsid w:val="1DB47B00"/>
    <w:rsid w:val="1E3E561C"/>
    <w:rsid w:val="1E641526"/>
    <w:rsid w:val="1EA07D98"/>
    <w:rsid w:val="1EAB3891"/>
    <w:rsid w:val="1F0B723F"/>
    <w:rsid w:val="1F365DEF"/>
    <w:rsid w:val="1F83778A"/>
    <w:rsid w:val="1FB8513D"/>
    <w:rsid w:val="1FCB1131"/>
    <w:rsid w:val="2051361B"/>
    <w:rsid w:val="2059190B"/>
    <w:rsid w:val="20FC3C98"/>
    <w:rsid w:val="21F7620D"/>
    <w:rsid w:val="222C2718"/>
    <w:rsid w:val="22CD6F6E"/>
    <w:rsid w:val="2323790C"/>
    <w:rsid w:val="236A6830"/>
    <w:rsid w:val="240864B0"/>
    <w:rsid w:val="24493596"/>
    <w:rsid w:val="24A374E0"/>
    <w:rsid w:val="24B0423F"/>
    <w:rsid w:val="250E5D48"/>
    <w:rsid w:val="25333A00"/>
    <w:rsid w:val="25494FD2"/>
    <w:rsid w:val="259520FE"/>
    <w:rsid w:val="25A91F14"/>
    <w:rsid w:val="26154EB4"/>
    <w:rsid w:val="264B6B28"/>
    <w:rsid w:val="26681488"/>
    <w:rsid w:val="26B840DE"/>
    <w:rsid w:val="26F96584"/>
    <w:rsid w:val="276F6846"/>
    <w:rsid w:val="27897907"/>
    <w:rsid w:val="27A26C1B"/>
    <w:rsid w:val="27F631C7"/>
    <w:rsid w:val="28665E9B"/>
    <w:rsid w:val="28E374EB"/>
    <w:rsid w:val="298011DE"/>
    <w:rsid w:val="2ABC16A1"/>
    <w:rsid w:val="2B043DBA"/>
    <w:rsid w:val="2B391645"/>
    <w:rsid w:val="2B591CE7"/>
    <w:rsid w:val="2B996587"/>
    <w:rsid w:val="2BCC4267"/>
    <w:rsid w:val="2C5A5D16"/>
    <w:rsid w:val="2C9D156B"/>
    <w:rsid w:val="2D2A71FC"/>
    <w:rsid w:val="2D36360D"/>
    <w:rsid w:val="2D957BDB"/>
    <w:rsid w:val="2DC378EB"/>
    <w:rsid w:val="2DCA0C7A"/>
    <w:rsid w:val="2DEE2BBA"/>
    <w:rsid w:val="2E1F3D2C"/>
    <w:rsid w:val="2E4B3B69"/>
    <w:rsid w:val="2E55067A"/>
    <w:rsid w:val="2E586286"/>
    <w:rsid w:val="2E884DBD"/>
    <w:rsid w:val="2ED753FC"/>
    <w:rsid w:val="2EDC6EB7"/>
    <w:rsid w:val="2F0423C2"/>
    <w:rsid w:val="2F106B60"/>
    <w:rsid w:val="2F3C3A77"/>
    <w:rsid w:val="2F7075FF"/>
    <w:rsid w:val="2FCE5C87"/>
    <w:rsid w:val="302D2360"/>
    <w:rsid w:val="30395C43"/>
    <w:rsid w:val="30DF67EA"/>
    <w:rsid w:val="30FD4EC2"/>
    <w:rsid w:val="31A57A34"/>
    <w:rsid w:val="327B2543"/>
    <w:rsid w:val="33590AD6"/>
    <w:rsid w:val="343B0641"/>
    <w:rsid w:val="34E61011"/>
    <w:rsid w:val="35507CB7"/>
    <w:rsid w:val="35725E7F"/>
    <w:rsid w:val="35D619FA"/>
    <w:rsid w:val="360A60B7"/>
    <w:rsid w:val="362A49AB"/>
    <w:rsid w:val="37D01583"/>
    <w:rsid w:val="37FC2378"/>
    <w:rsid w:val="388163D9"/>
    <w:rsid w:val="388A1D3C"/>
    <w:rsid w:val="38B10902"/>
    <w:rsid w:val="38B83DEB"/>
    <w:rsid w:val="38C311C3"/>
    <w:rsid w:val="38F31AFC"/>
    <w:rsid w:val="38F372D7"/>
    <w:rsid w:val="394B7113"/>
    <w:rsid w:val="394E6C03"/>
    <w:rsid w:val="39965EB4"/>
    <w:rsid w:val="39EF41D8"/>
    <w:rsid w:val="39F34038"/>
    <w:rsid w:val="3A240A4F"/>
    <w:rsid w:val="3A320BEF"/>
    <w:rsid w:val="3A35391F"/>
    <w:rsid w:val="3ADB0022"/>
    <w:rsid w:val="3ADB44C6"/>
    <w:rsid w:val="3B443E1A"/>
    <w:rsid w:val="3B4A51A8"/>
    <w:rsid w:val="3D1F26D2"/>
    <w:rsid w:val="3D385C00"/>
    <w:rsid w:val="3D803103"/>
    <w:rsid w:val="3D924CB5"/>
    <w:rsid w:val="3DE713D4"/>
    <w:rsid w:val="3E1D3826"/>
    <w:rsid w:val="3E343B70"/>
    <w:rsid w:val="3E3D1361"/>
    <w:rsid w:val="3E5E1696"/>
    <w:rsid w:val="3F0A7128"/>
    <w:rsid w:val="3F3946F3"/>
    <w:rsid w:val="3F6669AC"/>
    <w:rsid w:val="3F8F762D"/>
    <w:rsid w:val="3FA4757D"/>
    <w:rsid w:val="401A15ED"/>
    <w:rsid w:val="403E2404"/>
    <w:rsid w:val="40F55BB6"/>
    <w:rsid w:val="41032081"/>
    <w:rsid w:val="41107792"/>
    <w:rsid w:val="41322966"/>
    <w:rsid w:val="413D3239"/>
    <w:rsid w:val="416E5038"/>
    <w:rsid w:val="41B03ED1"/>
    <w:rsid w:val="41C37371"/>
    <w:rsid w:val="41CE268F"/>
    <w:rsid w:val="42293D69"/>
    <w:rsid w:val="42824A5E"/>
    <w:rsid w:val="42D62808"/>
    <w:rsid w:val="42FE0D52"/>
    <w:rsid w:val="433F136A"/>
    <w:rsid w:val="4355293C"/>
    <w:rsid w:val="43635059"/>
    <w:rsid w:val="438A434B"/>
    <w:rsid w:val="43C024AB"/>
    <w:rsid w:val="43DB1093"/>
    <w:rsid w:val="44AE11F2"/>
    <w:rsid w:val="456A0921"/>
    <w:rsid w:val="45965BB9"/>
    <w:rsid w:val="46250CEB"/>
    <w:rsid w:val="46326F64"/>
    <w:rsid w:val="467557CF"/>
    <w:rsid w:val="4685510A"/>
    <w:rsid w:val="476E221E"/>
    <w:rsid w:val="47941C85"/>
    <w:rsid w:val="47AD71EA"/>
    <w:rsid w:val="47C63E08"/>
    <w:rsid w:val="48054931"/>
    <w:rsid w:val="483B3BEF"/>
    <w:rsid w:val="48636528"/>
    <w:rsid w:val="489F1D6E"/>
    <w:rsid w:val="48BB660B"/>
    <w:rsid w:val="49311309"/>
    <w:rsid w:val="49801D0C"/>
    <w:rsid w:val="49CA7BE0"/>
    <w:rsid w:val="49F42EAF"/>
    <w:rsid w:val="4A253068"/>
    <w:rsid w:val="4A547561"/>
    <w:rsid w:val="4ACE54AE"/>
    <w:rsid w:val="4B1D01E3"/>
    <w:rsid w:val="4B3520E1"/>
    <w:rsid w:val="4B4439C2"/>
    <w:rsid w:val="4B69581D"/>
    <w:rsid w:val="4BB072A9"/>
    <w:rsid w:val="4BB1048C"/>
    <w:rsid w:val="4BEB208F"/>
    <w:rsid w:val="4CA41E94"/>
    <w:rsid w:val="4D0F1DAD"/>
    <w:rsid w:val="4D1675E0"/>
    <w:rsid w:val="4D5C4846"/>
    <w:rsid w:val="4D665E71"/>
    <w:rsid w:val="4D8C1D7C"/>
    <w:rsid w:val="4DD23507"/>
    <w:rsid w:val="4E6C11D0"/>
    <w:rsid w:val="4F2064F4"/>
    <w:rsid w:val="4FDC68BF"/>
    <w:rsid w:val="501047BA"/>
    <w:rsid w:val="503E4E84"/>
    <w:rsid w:val="506B7C43"/>
    <w:rsid w:val="509E0C02"/>
    <w:rsid w:val="50B60EBE"/>
    <w:rsid w:val="50E97F21"/>
    <w:rsid w:val="51217185"/>
    <w:rsid w:val="51703763"/>
    <w:rsid w:val="51736DAF"/>
    <w:rsid w:val="518E1E3B"/>
    <w:rsid w:val="51AE2C07"/>
    <w:rsid w:val="51D610EC"/>
    <w:rsid w:val="52884ADC"/>
    <w:rsid w:val="528A0854"/>
    <w:rsid w:val="534053B7"/>
    <w:rsid w:val="53C25DCC"/>
    <w:rsid w:val="54486A3E"/>
    <w:rsid w:val="54F860F5"/>
    <w:rsid w:val="55314FB7"/>
    <w:rsid w:val="559519EA"/>
    <w:rsid w:val="559B0682"/>
    <w:rsid w:val="55D01DBA"/>
    <w:rsid w:val="568630E0"/>
    <w:rsid w:val="56A74786"/>
    <w:rsid w:val="56BC4D54"/>
    <w:rsid w:val="56BD12C3"/>
    <w:rsid w:val="56D57BC4"/>
    <w:rsid w:val="57032983"/>
    <w:rsid w:val="57580F21"/>
    <w:rsid w:val="579D2DD8"/>
    <w:rsid w:val="57D36455"/>
    <w:rsid w:val="57E26A3C"/>
    <w:rsid w:val="582F1556"/>
    <w:rsid w:val="590C5CE8"/>
    <w:rsid w:val="59513AE2"/>
    <w:rsid w:val="59814033"/>
    <w:rsid w:val="59931237"/>
    <w:rsid w:val="59982C86"/>
    <w:rsid w:val="599C3704"/>
    <w:rsid w:val="5A421A14"/>
    <w:rsid w:val="5A5359CF"/>
    <w:rsid w:val="5AE623A0"/>
    <w:rsid w:val="5B4C00B5"/>
    <w:rsid w:val="5B636371"/>
    <w:rsid w:val="5B671910"/>
    <w:rsid w:val="5B962018"/>
    <w:rsid w:val="5BE72873"/>
    <w:rsid w:val="5C6521E8"/>
    <w:rsid w:val="5CE24DE9"/>
    <w:rsid w:val="5D047455"/>
    <w:rsid w:val="5D5340D1"/>
    <w:rsid w:val="5D5E4DB7"/>
    <w:rsid w:val="5D72616D"/>
    <w:rsid w:val="5D8365CC"/>
    <w:rsid w:val="5E1611EE"/>
    <w:rsid w:val="5E7723DC"/>
    <w:rsid w:val="5EBF1885"/>
    <w:rsid w:val="5F5D2E4C"/>
    <w:rsid w:val="5FE80968"/>
    <w:rsid w:val="5FFE1F39"/>
    <w:rsid w:val="60970262"/>
    <w:rsid w:val="61306A6A"/>
    <w:rsid w:val="616B1851"/>
    <w:rsid w:val="619D0329"/>
    <w:rsid w:val="61AB6A44"/>
    <w:rsid w:val="630F445E"/>
    <w:rsid w:val="636A4BEA"/>
    <w:rsid w:val="639618B0"/>
    <w:rsid w:val="63D538F9"/>
    <w:rsid w:val="65A11CE5"/>
    <w:rsid w:val="65F3220A"/>
    <w:rsid w:val="67A755AC"/>
    <w:rsid w:val="67DB7004"/>
    <w:rsid w:val="67EE31DB"/>
    <w:rsid w:val="690F24D3"/>
    <w:rsid w:val="69113D1C"/>
    <w:rsid w:val="693C46C5"/>
    <w:rsid w:val="698166D7"/>
    <w:rsid w:val="69F95ABE"/>
    <w:rsid w:val="6A473A26"/>
    <w:rsid w:val="6ACE4BFE"/>
    <w:rsid w:val="6B8A321B"/>
    <w:rsid w:val="6B8F25DF"/>
    <w:rsid w:val="6BA9177B"/>
    <w:rsid w:val="6BAC13E3"/>
    <w:rsid w:val="6C5D4156"/>
    <w:rsid w:val="6CB5668F"/>
    <w:rsid w:val="6CC462B9"/>
    <w:rsid w:val="6CE64481"/>
    <w:rsid w:val="6D0E585A"/>
    <w:rsid w:val="6D1F1741"/>
    <w:rsid w:val="6D344F72"/>
    <w:rsid w:val="6D934609"/>
    <w:rsid w:val="6DAA0957"/>
    <w:rsid w:val="6DBA431C"/>
    <w:rsid w:val="6DDB7D5E"/>
    <w:rsid w:val="6EAE0FCF"/>
    <w:rsid w:val="6F616041"/>
    <w:rsid w:val="6F7930AB"/>
    <w:rsid w:val="6FBF6AA6"/>
    <w:rsid w:val="6FDA7168"/>
    <w:rsid w:val="70E46F2A"/>
    <w:rsid w:val="713D663A"/>
    <w:rsid w:val="713F5CFA"/>
    <w:rsid w:val="71457E0C"/>
    <w:rsid w:val="71791D68"/>
    <w:rsid w:val="7251239D"/>
    <w:rsid w:val="727128B9"/>
    <w:rsid w:val="72AB41A3"/>
    <w:rsid w:val="730E64E0"/>
    <w:rsid w:val="73BF1B64"/>
    <w:rsid w:val="73F90D54"/>
    <w:rsid w:val="744B7C3A"/>
    <w:rsid w:val="746472B6"/>
    <w:rsid w:val="74BF6493"/>
    <w:rsid w:val="74F17E56"/>
    <w:rsid w:val="75137DDD"/>
    <w:rsid w:val="759251A6"/>
    <w:rsid w:val="75D66F71"/>
    <w:rsid w:val="761D53B8"/>
    <w:rsid w:val="76323A2A"/>
    <w:rsid w:val="77132317"/>
    <w:rsid w:val="773F310C"/>
    <w:rsid w:val="77444BC6"/>
    <w:rsid w:val="782D1479"/>
    <w:rsid w:val="78865B21"/>
    <w:rsid w:val="78AB6516"/>
    <w:rsid w:val="79167E9C"/>
    <w:rsid w:val="79256331"/>
    <w:rsid w:val="79AC21F7"/>
    <w:rsid w:val="79E920C0"/>
    <w:rsid w:val="7AAC3DA0"/>
    <w:rsid w:val="7AB31CA1"/>
    <w:rsid w:val="7AD87AFF"/>
    <w:rsid w:val="7AFD1314"/>
    <w:rsid w:val="7B0C59FB"/>
    <w:rsid w:val="7BBA7205"/>
    <w:rsid w:val="7C2D50A8"/>
    <w:rsid w:val="7C464F3C"/>
    <w:rsid w:val="7C5807CC"/>
    <w:rsid w:val="7C725D31"/>
    <w:rsid w:val="7D4551F4"/>
    <w:rsid w:val="7DA805DC"/>
    <w:rsid w:val="7DBC3708"/>
    <w:rsid w:val="7EB268B9"/>
    <w:rsid w:val="7F737DF6"/>
    <w:rsid w:val="7F9B1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50" w:beforeLines="50" w:after="50" w:afterLines="50" w:line="360" w:lineRule="auto"/>
      <w:outlineLvl w:val="0"/>
    </w:pPr>
    <w:rPr>
      <w:b/>
      <w:kern w:val="44"/>
      <w:sz w:val="32"/>
    </w:rPr>
  </w:style>
  <w:style w:type="paragraph" w:styleId="3">
    <w:name w:val="heading 2"/>
    <w:basedOn w:val="1"/>
    <w:next w:val="1"/>
    <w:link w:val="41"/>
    <w:unhideWhenUsed/>
    <w:qFormat/>
    <w:uiPriority w:val="0"/>
    <w:pPr>
      <w:keepNext/>
      <w:keepLines/>
      <w:spacing w:after="50" w:afterLines="50" w:line="360" w:lineRule="auto"/>
      <w:outlineLvl w:val="1"/>
    </w:pPr>
    <w:rPr>
      <w:rFonts w:ascii="Arial" w:hAnsi="Arial"/>
      <w:b/>
      <w:sz w:val="28"/>
    </w:rPr>
  </w:style>
  <w:style w:type="paragraph" w:styleId="4">
    <w:name w:val="heading 3"/>
    <w:basedOn w:val="1"/>
    <w:next w:val="1"/>
    <w:unhideWhenUsed/>
    <w:qFormat/>
    <w:uiPriority w:val="0"/>
    <w:pPr>
      <w:keepNext/>
      <w:keepLines/>
      <w:spacing w:after="50" w:afterLines="50" w:line="360" w:lineRule="auto"/>
      <w:outlineLvl w:val="2"/>
    </w:pPr>
    <w:rPr>
      <w:b/>
      <w:sz w:val="24"/>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annotation text"/>
    <w:basedOn w:val="1"/>
    <w:semiHidden/>
    <w:unhideWhenUsed/>
    <w:qFormat/>
    <w:uiPriority w:val="99"/>
    <w:pPr>
      <w:jc w:val="left"/>
    </w:pPr>
  </w:style>
  <w:style w:type="paragraph" w:styleId="7">
    <w:name w:val="toc 3"/>
    <w:basedOn w:val="1"/>
    <w:next w:val="1"/>
    <w:unhideWhenUsed/>
    <w:qFormat/>
    <w:uiPriority w:val="39"/>
    <w:pPr>
      <w:tabs>
        <w:tab w:val="right" w:leader="dot" w:pos="8296"/>
      </w:tabs>
      <w:spacing w:line="360" w:lineRule="auto"/>
      <w:ind w:left="960" w:leftChars="400"/>
    </w:pPr>
    <w:rPr>
      <w:rFonts w:ascii="宋体" w:hAnsi="宋体"/>
      <w:szCs w:val="21"/>
    </w:rPr>
  </w:style>
  <w:style w:type="paragraph" w:styleId="8">
    <w:name w:val="Balloon Text"/>
    <w:basedOn w:val="1"/>
    <w:semiHidden/>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23"/>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line="360" w:lineRule="auto"/>
    </w:pPr>
    <w:rPr>
      <w:rFonts w:ascii="CG Times" w:hAnsi="CG Times" w:cs="CG Times"/>
      <w:sz w:val="24"/>
      <w:szCs w:val="24"/>
    </w:rPr>
  </w:style>
  <w:style w:type="paragraph" w:styleId="12">
    <w:name w:val="table of figures"/>
    <w:basedOn w:val="1"/>
    <w:next w:val="1"/>
    <w:unhideWhenUsed/>
    <w:qFormat/>
    <w:uiPriority w:val="99"/>
    <w:pPr>
      <w:spacing w:line="360" w:lineRule="auto"/>
      <w:ind w:left="200" w:leftChars="200" w:hanging="200" w:hangingChars="200"/>
    </w:pPr>
    <w:rPr>
      <w:sz w:val="24"/>
      <w:szCs w:val="24"/>
    </w:rPr>
  </w:style>
  <w:style w:type="paragraph" w:styleId="13">
    <w:name w:val="toc 2"/>
    <w:basedOn w:val="1"/>
    <w:next w:val="1"/>
    <w:qFormat/>
    <w:uiPriority w:val="39"/>
    <w:pPr>
      <w:spacing w:line="360" w:lineRule="auto"/>
      <w:ind w:left="420" w:leftChars="200"/>
    </w:pPr>
    <w:rPr>
      <w:rFonts w:ascii="CG Times" w:hAnsi="CG Times" w:cs="CG Times"/>
      <w:sz w:val="24"/>
      <w:szCs w:val="24"/>
    </w:rPr>
  </w:style>
  <w:style w:type="paragraph" w:styleId="14">
    <w:name w:val="Normal (Web)"/>
    <w:basedOn w:val="1"/>
    <w:qFormat/>
    <w:uiPriority w:val="0"/>
    <w:pPr>
      <w:spacing w:beforeAutospacing="1" w:afterAutospacing="1"/>
      <w:jc w:val="left"/>
    </w:pPr>
    <w:rPr>
      <w:kern w:val="0"/>
      <w:sz w:val="24"/>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basedOn w:val="17"/>
    <w:qFormat/>
    <w:uiPriority w:val="0"/>
  </w:style>
  <w:style w:type="character" w:styleId="19">
    <w:name w:val="FollowedHyperlink"/>
    <w:basedOn w:val="17"/>
    <w:qFormat/>
    <w:uiPriority w:val="0"/>
    <w:rPr>
      <w:color w:val="800080"/>
      <w:u w:val="single"/>
    </w:rPr>
  </w:style>
  <w:style w:type="character" w:styleId="20">
    <w:name w:val="Hyperlink"/>
    <w:basedOn w:val="17"/>
    <w:qFormat/>
    <w:uiPriority w:val="0"/>
    <w:rPr>
      <w:color w:val="000000"/>
      <w:u w:val="none"/>
    </w:rPr>
  </w:style>
  <w:style w:type="character" w:styleId="21">
    <w:name w:val="annotation reference"/>
    <w:basedOn w:val="17"/>
    <w:qFormat/>
    <w:uiPriority w:val="0"/>
    <w:rPr>
      <w:sz w:val="21"/>
      <w:szCs w:val="21"/>
    </w:rPr>
  </w:style>
  <w:style w:type="character" w:customStyle="1" w:styleId="22">
    <w:name w:val="页脚 字符"/>
    <w:basedOn w:val="17"/>
    <w:link w:val="9"/>
    <w:qFormat/>
    <w:uiPriority w:val="99"/>
    <w:rPr>
      <w:kern w:val="2"/>
      <w:sz w:val="18"/>
      <w:szCs w:val="18"/>
    </w:rPr>
  </w:style>
  <w:style w:type="character" w:customStyle="1" w:styleId="23">
    <w:name w:val="页眉 字符"/>
    <w:basedOn w:val="17"/>
    <w:link w:val="10"/>
    <w:qFormat/>
    <w:uiPriority w:val="99"/>
    <w:rPr>
      <w:kern w:val="2"/>
      <w:sz w:val="18"/>
      <w:szCs w:val="18"/>
    </w:rPr>
  </w:style>
  <w:style w:type="paragraph" w:customStyle="1" w:styleId="24">
    <w:name w:val="xl64"/>
    <w:basedOn w:val="1"/>
    <w:qFormat/>
    <w:uiPriority w:val="0"/>
    <w:pPr>
      <w:widowControl/>
      <w:spacing w:before="100" w:beforeAutospacing="1" w:after="100" w:afterAutospacing="1"/>
      <w:jc w:val="center"/>
    </w:pPr>
    <w:rPr>
      <w:rFonts w:ascii="宋体" w:hAnsi="宋体" w:cs="宋体"/>
      <w:kern w:val="0"/>
      <w:sz w:val="24"/>
      <w:szCs w:val="24"/>
    </w:rPr>
  </w:style>
  <w:style w:type="paragraph" w:customStyle="1" w:styleId="25">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rPr>
  </w:style>
  <w:style w:type="paragraph" w:customStyle="1" w:styleId="26">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b/>
      <w:bCs/>
      <w:kern w:val="0"/>
      <w:sz w:val="20"/>
    </w:rPr>
  </w:style>
  <w:style w:type="paragraph" w:customStyle="1" w:styleId="27">
    <w:name w:val="xl69"/>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28">
    <w:name w:val="xl7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rPr>
  </w:style>
  <w:style w:type="paragraph" w:customStyle="1" w:styleId="29">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b/>
      <w:bCs/>
      <w:kern w:val="0"/>
      <w:sz w:val="20"/>
    </w:rPr>
  </w:style>
  <w:style w:type="paragraph" w:customStyle="1" w:styleId="30">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rPr>
  </w:style>
  <w:style w:type="paragraph" w:customStyle="1" w:styleId="31">
    <w:name w:val="font6"/>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32">
    <w:name w:val="xl68"/>
    <w:basedOn w:val="1"/>
    <w:qFormat/>
    <w:uiPriority w:val="0"/>
    <w:pPr>
      <w:widowControl/>
      <w:pBdr>
        <w:bottom w:val="single" w:color="auto" w:sz="4" w:space="0"/>
      </w:pBdr>
      <w:spacing w:before="100" w:beforeAutospacing="1" w:after="100" w:afterAutospacing="1"/>
      <w:jc w:val="center"/>
    </w:pPr>
    <w:rPr>
      <w:rFonts w:ascii="宋体" w:hAnsi="宋体" w:cs="宋体"/>
      <w:b/>
      <w:bCs/>
      <w:kern w:val="0"/>
      <w:sz w:val="36"/>
      <w:szCs w:val="36"/>
    </w:rPr>
  </w:style>
  <w:style w:type="paragraph" w:customStyle="1" w:styleId="33">
    <w:name w:val="段"/>
    <w:qFormat/>
    <w:uiPriority w:val="0"/>
    <w:pPr>
      <w:autoSpaceDE w:val="0"/>
      <w:autoSpaceDN w:val="0"/>
      <w:ind w:firstLine="200" w:firstLineChars="200"/>
      <w:jc w:val="both"/>
    </w:pPr>
    <w:rPr>
      <w:rFonts w:ascii="宋体" w:hAnsi="Times New Roman" w:eastAsia="宋体" w:cs="宋体"/>
      <w:szCs w:val="21"/>
      <w:lang w:val="en-US" w:eastAsia="zh-CN" w:bidi="ar-SA"/>
    </w:rPr>
  </w:style>
  <w:style w:type="paragraph" w:customStyle="1" w:styleId="34">
    <w:name w:val="font5"/>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35">
    <w:name w:val="EndNote Bibliography Title"/>
    <w:qFormat/>
    <w:uiPriority w:val="0"/>
    <w:pPr>
      <w:jc w:val="center"/>
    </w:pPr>
    <w:rPr>
      <w:rFonts w:ascii="Times New Roman" w:hAnsi="Times New Roman" w:eastAsia="宋体" w:cs="Times New Roman"/>
      <w:kern w:val="2"/>
      <w:lang w:val="en-US" w:eastAsia="zh-CN" w:bidi="ar-SA"/>
    </w:rPr>
  </w:style>
  <w:style w:type="paragraph" w:customStyle="1" w:styleId="36">
    <w:name w:val="EndNote Bibliography"/>
    <w:qFormat/>
    <w:uiPriority w:val="0"/>
    <w:pPr>
      <w:jc w:val="both"/>
    </w:pPr>
    <w:rPr>
      <w:rFonts w:ascii="Times New Roman" w:hAnsi="Times New Roman" w:eastAsia="宋体" w:cs="Times New Roman"/>
      <w:kern w:val="2"/>
      <w:lang w:val="en-US" w:eastAsia="zh-CN" w:bidi="ar-SA"/>
    </w:rPr>
  </w:style>
  <w:style w:type="paragraph" w:customStyle="1" w:styleId="37">
    <w:name w:val="样式1"/>
    <w:basedOn w:val="1"/>
    <w:qFormat/>
    <w:uiPriority w:val="0"/>
    <w:pPr>
      <w:spacing w:line="360" w:lineRule="auto"/>
      <w:jc w:val="left"/>
    </w:pPr>
    <w:rPr>
      <w:b/>
      <w:sz w:val="32"/>
      <w:szCs w:val="32"/>
    </w:rPr>
  </w:style>
  <w:style w:type="paragraph" w:customStyle="1" w:styleId="38">
    <w:name w:val="WPSOffice手动目录 1"/>
    <w:qFormat/>
    <w:uiPriority w:val="0"/>
    <w:rPr>
      <w:rFonts w:ascii="Times New Roman" w:hAnsi="Times New Roman" w:eastAsia="宋体" w:cs="Times New Roman"/>
      <w:lang w:val="en-US" w:eastAsia="zh-CN" w:bidi="ar-SA"/>
    </w:rPr>
  </w:style>
  <w:style w:type="paragraph" w:customStyle="1" w:styleId="3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0">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41">
    <w:name w:val="标题 2 Char"/>
    <w:link w:val="3"/>
    <w:uiPriority w:val="0"/>
    <w:rPr>
      <w:rFonts w:ascii="Arial" w:hAnsi="Arial"/>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wmf"/><Relationship Id="rId23" Type="http://schemas.openxmlformats.org/officeDocument/2006/relationships/oleObject" Target="embeddings/oleObject1.bin"/><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emf"/><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26</Pages>
  <Words>11597</Words>
  <Characters>19399</Characters>
  <Lines>161</Lines>
  <Paragraphs>61</Paragraphs>
  <TotalTime>2</TotalTime>
  <ScaleCrop>false</ScaleCrop>
  <LinksUpToDate>false</LinksUpToDate>
  <CharactersWithSpaces>30935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2019-12-13T01:30:00Z</dcterms:created>
  <dc:creator>微软用户</dc:creator>
  <cp:lastModifiedBy>win</cp:lastModifiedBy>
  <cp:lastPrinted>2023-11-02T06:39:00Z</cp:lastPrinted>
  <dcterms:modified xsi:type="dcterms:W3CDTF">2023-11-09T06:24:42Z</dcterms:modified>
  <dc:title>关于开展安徽省自然科学基金</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69153FFD44174A33A83599DEE66ABE2D_13</vt:lpwstr>
  </property>
</Properties>
</file>