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Opgaver med stamtræer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1215897</wp:posOffset>
            </wp:positionH>
            <wp:positionV relativeFrom="paragraph">
              <wp:posOffset>287655</wp:posOffset>
            </wp:positionV>
            <wp:extent cx="3916936" cy="1809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7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936" cy="180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Stamtavlen ovenfor er for en familie, hvor der hos nogle individer optræder en dominant sygdom. Er sygdommen kønsbundet (begrund svaret)?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Angiv genotyper for samtlige individer i stamtræet.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 stor er sandsynligheden for at individ I-1 og I-2 får syge børn? (lav evt. et krydsningsskema)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Hvor stor er sandsynligheden for at individ III-6 og III-7 får syge børn? (lav evt. et krydsningsskema)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Hvilken familierelation er der mellem individ III-6 og III-7 i stamtræet ovenfor? Hvorfor er det ikke særligt godt genetisk set?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701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BioC, Middelfart Gymnasium 2017</w:t>
      <w:tab/>
      <w:tab/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a-D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