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15" w:rsidRDefault="002528A9" w:rsidP="002528A9">
      <w:pPr>
        <w:pStyle w:val="Overskrift1"/>
      </w:pPr>
      <w:r>
        <w:t>Kommentarer til journal: Diffusion og osmose</w:t>
      </w:r>
    </w:p>
    <w:p w:rsidR="002528A9" w:rsidRDefault="002528A9" w:rsidP="002528A9"/>
    <w:p w:rsidR="002528A9" w:rsidRDefault="002528A9" w:rsidP="002528A9">
      <w:pPr>
        <w:pStyle w:val="Overskrift2"/>
      </w:pPr>
      <w:r>
        <w:t>Diffusion</w:t>
      </w:r>
    </w:p>
    <w:p w:rsidR="002528A9" w:rsidRDefault="002528A9" w:rsidP="002528A9">
      <w:r>
        <w:rPr>
          <w:noProof/>
          <w:lang w:eastAsia="da-DK"/>
        </w:rPr>
        <w:drawing>
          <wp:inline distT="0" distB="0" distL="0" distR="0" wp14:anchorId="7DE60D66" wp14:editId="3ADDFCFA">
            <wp:extent cx="6120130" cy="3225165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8A9" w:rsidRDefault="002528A9" w:rsidP="002528A9">
      <w:pPr>
        <w:pStyle w:val="Overskrift2"/>
      </w:pPr>
      <w:r>
        <w:t>Resultatbehandling/konklusion</w:t>
      </w:r>
    </w:p>
    <w:p w:rsidR="002528A9" w:rsidRDefault="002528A9" w:rsidP="002528A9">
      <w:pPr>
        <w:pStyle w:val="Listeafsnit"/>
        <w:numPr>
          <w:ilvl w:val="0"/>
          <w:numId w:val="1"/>
        </w:numPr>
      </w:pPr>
      <w:proofErr w:type="spellStart"/>
      <w:r>
        <w:t>Kaliumpermanganat</w:t>
      </w:r>
      <w:proofErr w:type="spellEnd"/>
      <w:r>
        <w:t xml:space="preserve"> diffunderer fra den høje koncentration midt i petriskålen mod lavere og lavere koncentration ved kanten. Hvis vi havde ladet skålen stå, ville farven til sidst have været ensartet i hele </w:t>
      </w:r>
      <w:proofErr w:type="gramStart"/>
      <w:r>
        <w:t xml:space="preserve">skålen </w:t>
      </w:r>
      <w:r>
        <w:sym w:font="Wingdings" w:char="F0E0"/>
      </w:r>
      <w:r>
        <w:t xml:space="preserve"> koncentrationsforskellene</w:t>
      </w:r>
      <w:proofErr w:type="gramEnd"/>
      <w:r>
        <w:t xml:space="preserve"> ville være udlignet.</w:t>
      </w:r>
    </w:p>
    <w:p w:rsidR="002528A9" w:rsidRDefault="002528A9" w:rsidP="002528A9">
      <w:pPr>
        <w:pStyle w:val="Listeafsnit"/>
        <w:numPr>
          <w:ilvl w:val="0"/>
          <w:numId w:val="1"/>
        </w:numPr>
      </w:pPr>
      <w:r>
        <w:t>Diffusion er stoffernes bevægelse fra høj til lav koncentration og skyldes, at alle molekyler bevæger sig, så koncentrationsforskelle udlignes.</w:t>
      </w:r>
    </w:p>
    <w:p w:rsidR="002528A9" w:rsidRDefault="002528A9" w:rsidP="002528A9">
      <w:pPr>
        <w:pStyle w:val="Listeafsnit"/>
        <w:numPr>
          <w:ilvl w:val="0"/>
          <w:numId w:val="1"/>
        </w:numPr>
      </w:pPr>
      <w:r>
        <w:t>Ilt og kuldioxid bevæger sig ved diffusion hen over cellemembranen.</w:t>
      </w:r>
    </w:p>
    <w:p w:rsidR="002528A9" w:rsidRDefault="002528A9" w:rsidP="002528A9">
      <w:pPr>
        <w:pStyle w:val="Listeafsnit"/>
        <w:numPr>
          <w:ilvl w:val="0"/>
          <w:numId w:val="1"/>
        </w:numPr>
      </w:pPr>
      <w:r>
        <w:t>Fra hverdagen kender vi diffusion, når en sukkerknald i kaffen opløses af sig selv, og sukkersmagen fordeles ud i kaffen, eller når en piller en appelsin og appelsinduften breder sig i lokalet.</w:t>
      </w:r>
    </w:p>
    <w:p w:rsidR="002528A9" w:rsidRDefault="002528A9" w:rsidP="002528A9"/>
    <w:p w:rsidR="002528A9" w:rsidRDefault="002528A9" w:rsidP="002528A9">
      <w:pPr>
        <w:pStyle w:val="Overskrift2"/>
      </w:pPr>
      <w:r>
        <w:lastRenderedPageBreak/>
        <w:t>Osmoseforsøg – gær</w:t>
      </w:r>
    </w:p>
    <w:p w:rsidR="002528A9" w:rsidRDefault="002528A9" w:rsidP="002528A9">
      <w:r>
        <w:rPr>
          <w:noProof/>
          <w:lang w:eastAsia="da-DK"/>
        </w:rPr>
        <w:drawing>
          <wp:anchor distT="0" distB="0" distL="114300" distR="114300" simplePos="0" relativeHeight="251658240" behindDoc="0" locked="0" layoutInCell="1" allowOverlap="1">
            <wp:simplePos x="716280" y="1379220"/>
            <wp:positionH relativeFrom="margin">
              <wp:align>right</wp:align>
            </wp:positionH>
            <wp:positionV relativeFrom="margin">
              <wp:align>top</wp:align>
            </wp:positionV>
            <wp:extent cx="2678400" cy="2170800"/>
            <wp:effectExtent l="0" t="0" r="8255" b="1270"/>
            <wp:wrapSquare wrapText="bothSides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400" cy="217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Forsøget illustrerer osmose på følgende måde:</w:t>
      </w:r>
    </w:p>
    <w:p w:rsidR="002528A9" w:rsidRDefault="002528A9" w:rsidP="002528A9">
      <w:pPr>
        <w:pStyle w:val="Listeafsnit"/>
        <w:numPr>
          <w:ilvl w:val="0"/>
          <w:numId w:val="2"/>
        </w:numPr>
      </w:pPr>
      <w:r>
        <w:t>Salt og sukker kan ikke bevæge sig hen over cellemembranen.</w:t>
      </w:r>
    </w:p>
    <w:p w:rsidR="002528A9" w:rsidRDefault="002528A9" w:rsidP="002528A9">
      <w:pPr>
        <w:pStyle w:val="Listeafsnit"/>
        <w:numPr>
          <w:ilvl w:val="0"/>
          <w:numId w:val="2"/>
        </w:numPr>
      </w:pPr>
      <w:r>
        <w:t xml:space="preserve">Men det kan vand. Vandet findes i en meget højere koncentration i cellerne end udenfor cellerne </w:t>
      </w:r>
      <w:proofErr w:type="gramStart"/>
      <w:r>
        <w:t>(</w:t>
      </w:r>
      <w:r>
        <w:sym w:font="Wingdings" w:char="F0E0"/>
      </w:r>
      <w:r>
        <w:t xml:space="preserve"> salt</w:t>
      </w:r>
      <w:proofErr w:type="gramEnd"/>
      <w:r>
        <w:t xml:space="preserve"> og sukker er tørt)</w:t>
      </w:r>
    </w:p>
    <w:p w:rsidR="002528A9" w:rsidRDefault="002528A9" w:rsidP="002528A9">
      <w:pPr>
        <w:pStyle w:val="Listeafsnit"/>
        <w:numPr>
          <w:ilvl w:val="0"/>
          <w:numId w:val="2"/>
        </w:numPr>
      </w:pPr>
      <w:r>
        <w:t>Derfor vil vandet bevæge sig over cellemembranen for at udligne koncentrationsforskellen mellem cellen og dens omgivelser (salt/sukker). Denne proces kaldes osmose.</w:t>
      </w:r>
    </w:p>
    <w:p w:rsidR="002528A9" w:rsidRDefault="002528A9" w:rsidP="002528A9">
      <w:pPr>
        <w:pStyle w:val="Listeafsnit"/>
        <w:numPr>
          <w:ilvl w:val="0"/>
          <w:numId w:val="2"/>
        </w:numPr>
      </w:pPr>
      <w:r>
        <w:t>Cellerne dør ved det, for de bliver helt udtørrede, og salt/sukker bliver opløst i vandet.</w:t>
      </w:r>
    </w:p>
    <w:p w:rsidR="002528A9" w:rsidRDefault="002528A9" w:rsidP="002528A9"/>
    <w:p w:rsidR="002528A9" w:rsidRDefault="002528A9" w:rsidP="002528A9">
      <w:pPr>
        <w:pStyle w:val="Overskrift2"/>
      </w:pPr>
      <w:r>
        <w:t>Osmoseforsøg – kartofler</w:t>
      </w:r>
    </w:p>
    <w:p w:rsidR="002528A9" w:rsidRDefault="002528A9" w:rsidP="002528A9">
      <w:r>
        <w:rPr>
          <w:noProof/>
          <w:lang w:eastAsia="da-DK"/>
        </w:rPr>
        <w:drawing>
          <wp:inline distT="0" distB="0" distL="0" distR="0" wp14:anchorId="79551DC1" wp14:editId="70DCDD64">
            <wp:extent cx="4160520" cy="699901"/>
            <wp:effectExtent l="0" t="0" r="0" b="508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9584"/>
                    <a:stretch/>
                  </pic:blipFill>
                  <pic:spPr bwMode="auto">
                    <a:xfrm>
                      <a:off x="0" y="0"/>
                      <a:ext cx="4194546" cy="70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da-DK"/>
        </w:rPr>
        <w:drawing>
          <wp:inline distT="0" distB="0" distL="0" distR="0" wp14:anchorId="1F306E7F" wp14:editId="18A7873A">
            <wp:extent cx="4145280" cy="910412"/>
            <wp:effectExtent l="0" t="0" r="0" b="4445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3346"/>
                    <a:stretch/>
                  </pic:blipFill>
                  <pic:spPr bwMode="auto">
                    <a:xfrm>
                      <a:off x="0" y="0"/>
                      <a:ext cx="4256775" cy="934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1590" w:rsidRDefault="00C41590" w:rsidP="002528A9">
      <w:r>
        <w:t>Forhold mellem saltindhold i vandet og den procentvise ændring af kartoffelstykket:</w:t>
      </w:r>
    </w:p>
    <w:p w:rsidR="00C41590" w:rsidRDefault="00C41590" w:rsidP="002528A9">
      <w:r>
        <w:rPr>
          <w:noProof/>
          <w:lang w:eastAsia="da-DK"/>
        </w:rPr>
        <w:drawing>
          <wp:inline distT="0" distB="0" distL="0" distR="0" wp14:anchorId="7813C81C" wp14:editId="14810E75">
            <wp:extent cx="4564380" cy="2796540"/>
            <wp:effectExtent l="0" t="0" r="7620" b="3810"/>
            <wp:docPr id="5" name="Diagram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bookmarkStart w:id="0" w:name="_GoBack"/>
      <w:bookmarkEnd w:id="0"/>
    </w:p>
    <w:p w:rsidR="00C41590" w:rsidRDefault="00C41590" w:rsidP="002528A9"/>
    <w:p w:rsidR="00C41590" w:rsidRDefault="00C41590" w:rsidP="002528A9">
      <w:r>
        <w:t>Konklusion:</w:t>
      </w:r>
    </w:p>
    <w:p w:rsidR="00C41590" w:rsidRDefault="00C41590" w:rsidP="00C41590">
      <w:pPr>
        <w:pStyle w:val="Listeafsnit"/>
        <w:numPr>
          <w:ilvl w:val="0"/>
          <w:numId w:val="3"/>
        </w:numPr>
      </w:pPr>
      <w:r>
        <w:t>Kartoffelstykkets vægt bliver større, når det ligger i ferskvand og falder, når det ligger i saltvand. Grafen skærer x-aksen ved ca. 1 % salt, så kartoflens egen saltkoncentration må ligge der omkring.</w:t>
      </w:r>
    </w:p>
    <w:p w:rsidR="00C41590" w:rsidRDefault="00C41590" w:rsidP="00C41590">
      <w:pPr>
        <w:pStyle w:val="Listeafsnit"/>
        <w:numPr>
          <w:ilvl w:val="0"/>
          <w:numId w:val="3"/>
        </w:numPr>
      </w:pPr>
      <w:r>
        <w:t>Den største ændring i kartoffelstykkets vægt sker fra 0 % salt til 3 % salt. Derefter flader kurven ud. Der er formodentlig ikke mere vand, der kan diffundere ud af kartoffelstykket.</w:t>
      </w:r>
    </w:p>
    <w:p w:rsidR="00C41590" w:rsidRPr="002528A9" w:rsidRDefault="00C41590" w:rsidP="00C41590">
      <w:pPr>
        <w:pStyle w:val="Listeafsnit"/>
        <w:numPr>
          <w:ilvl w:val="0"/>
          <w:numId w:val="3"/>
        </w:numPr>
      </w:pPr>
      <w:r>
        <w:t>Forsøget påviser osmose, da vi kan se, at vandet bevæger sig ind i kartoflen, når vandets saltkoncentration er lavere end kartoflens, og ud af kartoflen, når vandets saltkoncentration er højere end kartoflens.</w:t>
      </w:r>
    </w:p>
    <w:sectPr w:rsidR="00C41590" w:rsidRPr="002528A9" w:rsidSect="00252B18">
      <w:headerReference w:type="default" r:id="rId11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2343" w:rsidRDefault="002A2343" w:rsidP="002528A9">
      <w:pPr>
        <w:spacing w:line="240" w:lineRule="auto"/>
      </w:pPr>
      <w:r>
        <w:separator/>
      </w:r>
    </w:p>
  </w:endnote>
  <w:endnote w:type="continuationSeparator" w:id="0">
    <w:p w:rsidR="002A2343" w:rsidRDefault="002A2343" w:rsidP="002528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2343" w:rsidRDefault="002A2343" w:rsidP="002528A9">
      <w:pPr>
        <w:spacing w:line="240" w:lineRule="auto"/>
      </w:pPr>
      <w:r>
        <w:separator/>
      </w:r>
    </w:p>
  </w:footnote>
  <w:footnote w:type="continuationSeparator" w:id="0">
    <w:p w:rsidR="002A2343" w:rsidRDefault="002A2343" w:rsidP="002528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28A9" w:rsidRPr="002528A9" w:rsidRDefault="002528A9">
    <w:pPr>
      <w:pStyle w:val="Sidehoved"/>
      <w:rPr>
        <w:sz w:val="20"/>
      </w:rPr>
    </w:pPr>
    <w:r w:rsidRPr="002528A9">
      <w:rPr>
        <w:sz w:val="20"/>
      </w:rPr>
      <w:t>Livets byggesten</w:t>
    </w:r>
    <w:r w:rsidRPr="002528A9">
      <w:rPr>
        <w:sz w:val="20"/>
      </w:rPr>
      <w:tab/>
      <w:t>Diffusion og osmose</w:t>
    </w:r>
    <w:r w:rsidRPr="002528A9">
      <w:rPr>
        <w:sz w:val="20"/>
      </w:rPr>
      <w:tab/>
      <w:t>1a bi/MM 2018</w:t>
    </w:r>
  </w:p>
  <w:p w:rsidR="002528A9" w:rsidRPr="002528A9" w:rsidRDefault="002528A9">
    <w:pPr>
      <w:pStyle w:val="Sidehoved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155A4D"/>
    <w:multiLevelType w:val="hybridMultilevel"/>
    <w:tmpl w:val="1AE050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E5CF0"/>
    <w:multiLevelType w:val="hybridMultilevel"/>
    <w:tmpl w:val="44CEE40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6E04494"/>
    <w:multiLevelType w:val="hybridMultilevel"/>
    <w:tmpl w:val="2BA0F3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8A9"/>
    <w:rsid w:val="00144140"/>
    <w:rsid w:val="002528A9"/>
    <w:rsid w:val="00252B18"/>
    <w:rsid w:val="002A2343"/>
    <w:rsid w:val="005A16C0"/>
    <w:rsid w:val="00C41590"/>
    <w:rsid w:val="00E0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434656-2462-406A-876A-D27B3DD1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528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528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528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dehoved">
    <w:name w:val="header"/>
    <w:basedOn w:val="Normal"/>
    <w:link w:val="SidehovedTegn"/>
    <w:uiPriority w:val="99"/>
    <w:unhideWhenUsed/>
    <w:rsid w:val="002528A9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528A9"/>
  </w:style>
  <w:style w:type="paragraph" w:styleId="Sidefod">
    <w:name w:val="footer"/>
    <w:basedOn w:val="Normal"/>
    <w:link w:val="SidefodTegn"/>
    <w:uiPriority w:val="99"/>
    <w:unhideWhenUsed/>
    <w:rsid w:val="002528A9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528A9"/>
  </w:style>
  <w:style w:type="character" w:customStyle="1" w:styleId="Overskrift2Tegn">
    <w:name w:val="Overskrift 2 Tegn"/>
    <w:basedOn w:val="Standardskrifttypeiafsnit"/>
    <w:link w:val="Overskrift2"/>
    <w:uiPriority w:val="9"/>
    <w:rsid w:val="002528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2528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Mappe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'Ark1'!$A$3:$E$3</c:f>
              <c:numCache>
                <c:formatCode>General</c:formatCode>
                <c:ptCount val="5"/>
                <c:pt idx="0">
                  <c:v>0</c:v>
                </c:pt>
                <c:pt idx="1">
                  <c:v>1.5</c:v>
                </c:pt>
                <c:pt idx="2">
                  <c:v>3</c:v>
                </c:pt>
                <c:pt idx="3">
                  <c:v>6</c:v>
                </c:pt>
                <c:pt idx="4">
                  <c:v>10</c:v>
                </c:pt>
              </c:numCache>
            </c:numRef>
          </c:xVal>
          <c:yVal>
            <c:numRef>
              <c:f>'Ark1'!$A$4:$E$4</c:f>
              <c:numCache>
                <c:formatCode>General</c:formatCode>
                <c:ptCount val="5"/>
                <c:pt idx="0">
                  <c:v>4.97</c:v>
                </c:pt>
                <c:pt idx="1">
                  <c:v>-3.09</c:v>
                </c:pt>
                <c:pt idx="2">
                  <c:v>-18.8</c:v>
                </c:pt>
                <c:pt idx="3">
                  <c:v>-18.899999999999999</c:v>
                </c:pt>
                <c:pt idx="4">
                  <c:v>-23.8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75070752"/>
        <c:axId val="475071144"/>
      </c:scatterChart>
      <c:valAx>
        <c:axId val="4750707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Saltkoncentration, %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a-DK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a-DK"/>
          </a:p>
        </c:txPr>
        <c:crossAx val="475071144"/>
        <c:crosses val="autoZero"/>
        <c:crossBetween val="midCat"/>
      </c:valAx>
      <c:valAx>
        <c:axId val="475071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Vægtændring fra start til slut, %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a-DK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a-DK"/>
          </a:p>
        </c:txPr>
        <c:crossAx val="4750707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a-D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279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1</cp:revision>
  <dcterms:created xsi:type="dcterms:W3CDTF">2018-01-04T19:36:00Z</dcterms:created>
  <dcterms:modified xsi:type="dcterms:W3CDTF">2018-01-04T19:59:00Z</dcterms:modified>
</cp:coreProperties>
</file>