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10.</w:t>
        <w:tab/>
        <w:t>(a)</w:t>
        <w:tab/>
        <w:t>Role of Hydrochloride acid in stomach :</w:t>
      </w:r>
    </w:p>
    <w:p>
      <w:r>
        <w:t>(1) It kills the germs in the stomach.</w:t>
      </w:r>
    </w:p>
    <w:p>
      <w:r>
        <w:t>(2) It creates an acidic medium for enzyme pepsin to actron protein activate.</w:t>
      </w:r>
    </w:p>
    <w:p/>
    <w:p/>
    <w:p>
      <w:r>
        <w:tab/>
        <w:t>(b)</w:t>
        <w:tab/>
      </w:r>
    </w:p>
    <w:p>
      <w:r>
        <w:t>Image: image1.png</w:t>
      </w:r>
    </w:p>
    <w:p>
      <w:r>
        <w:drawing>
          <wp:inline xmlns:a="http://schemas.openxmlformats.org/drawingml/2006/main" xmlns:pic="http://schemas.openxmlformats.org/drawingml/2006/picture">
            <wp:extent cx="1828800" cy="92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2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(b)</w:t>
      </w:r>
    </w:p>
    <w:p>
      <w:r>
        <w:t>Function of lacteal – During the process of digestion, the lacteals absorb large molecules of fats and lipids from the small intestine.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