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11.</w:t>
              <w:tab/>
              <w:t>(a)</w:t>
              <w:tab/>
              <w:t xml:space="preserve">Alveoli are covered with blood capillaries that the exchange of gases takes </w:t>
              <w:tab/>
              <w:t xml:space="preserve">place between the membrane of alveoli and the surrounding capillaries. The </w:t>
              <w:tab/>
              <w:t xml:space="preserve">blood capillaries covering alveoli have low oxygen and high CO2 concentration. </w:t>
              <w:tab/>
              <w:t>This allows O2 to diffuse into the blood and CO2 out of the blood.</w:t>
            </w:r>
          </w:p>
          <w:p/>
          <w:p/>
          <w:p>
            <w:r>
              <w:t>(b)</w:t>
              <w:tab/>
              <w:t>cartilaginous rings supports trachea and presents it from collapsing. It also helps in the flexible movement of nek during breathing.</w:t>
            </w:r>
          </w:p>
          <w:p/>
        </w:tc>
        <w:tc>
          <w:tcPr>
            <w:tcW w:type="dxa" w:w="2880"/>
          </w:tcPr>
          <w:p>
            <w:r>
              <w:t>a) Alveoli are covered with blood capillaries so that the exchange of gases takes place between the membrane of alveoli and the surrounding capillaries. The blood capillaries covering alveoli have low oxygen and high CO2 concentration. This allows O2 to diffuse into the blood and CO2 out of the blood.</w:t>
            </w:r>
          </w:p>
        </w:tc>
        <w:tc>
          <w:tcPr>
            <w:tcW w:type="dxa" w:w="2880"/>
          </w:tcPr>
          <w:p>
            <w:r>
              <w:t>33.1%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