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In case of aluminium and zinc, double displacement can be observed, since Al and Zn are more reactive than Fe.</w:t>
            </w:r>
          </w:p>
        </w:tc>
        <w:tc>
          <w:tcPr>
            <w:tcW w:type="dxa" w:w="2880"/>
          </w:tcPr>
          <w:p>
            <w:r>
              <w:t>Q6 In case of aluminium and zinc, double displacement can be observed, since Al and Zn are more reactive than Fe.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