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 area of ΔABC</w:t>
        <w:br/>
        <w:t>(x₁,y₁) (x₂,y₂) (x₃,y₃)</w:t>
        <w:br/>
        <w:t>(1,-1) (-4,6) (-3,-5)</w:t>
        <w:br/>
        <w:t>½|x₁(y₂-y₃)+x₂(y₃-y₁)+x₃(y₁-y₂)|</w:t>
        <w:br/>
        <w:t>½|1(6+5)-4(-5+1)-3(-1-6)|</w:t>
        <w:br/>
        <w:t>½|11-4(-4)-3(-7)|</w:t>
        <w:br/>
        <w:t>½|11+16+21|</w:t>
        <w:br/>
        <w:t>½|48|</w:t>
        <w:br/>
        <w:t>= 24u²</w:t>
        <w:br/>
        <w:t>(2) D(RHS)</w:t>
        <w:br/>
        <w:t>(i) B A C N S R P Q &lt;diagram_1&gt;</w:t>
        <w:br/>
        <w:t>(ii) ar(ΔABC)/ar(ΔPQR) = AB²/PQ² = AN²/PN²</w:t>
        <w:br/>
        <w:t>(iii) 1:2 = AN/PN. Area(ΔABC)/Area(ΔPQR) = (1/2)² = 1/4</w:t>
        <w:br/>
        <w:t>(iv) (d) 2:3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