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tanθ = opp/adj</w:t>
        <w:br/>
        <w:t>&lt;diagram_1&gt;</w:t>
        <w:br/>
        <w:t>AB^2 = AC^2 + BC^2</w:t>
        <w:br/>
        <w:t>= 1+4</w:t>
        <w:br/>
        <w:t>= 5</w:t>
        <w:br/>
        <w:t>AB = √5</w:t>
        <w:br/>
        <w:t>Sinθ = opp/hypotenuse.</w:t>
        <w:br/>
        <w:t>= 1/√5</w:t>
        <w:br/>
        <w:t xml:space="preserve">cosθ = adjacent/hypotenuse </w:t>
        <w:br/>
        <w:t>cosθ= adj/hypotenuse</w:t>
        <w:br/>
        <w:t>= 2/√5</w:t>
        <w:br/>
        <w:t>1/2 sinθ cosθ = 1/5</w:t>
        <w:br/>
        <w:t>1/2 x 1/√5 x 2/√5 = 1/5</w:t>
        <w:br/>
        <w:t>1/5 = 1/5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