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</w:r>
          </w:p>
        </w:tc>
        <w:tc>
          <w:tcPr>
            <w:tcW w:type="dxa" w:w="2880"/>
          </w:tcPr>
          <w:p>
            <w:r>
              <w:t>a = x³y²</w:t>
              <w:br/>
              <w:t>b = x²y⁴</w:t>
              <w:br/>
              <w:t>LCM(a,b) = x³y⁴</w:t>
              <w:br/>
              <w:t>(1) x³y⁴</w:t>
            </w:r>
          </w:p>
        </w:tc>
        <w:tc>
          <w:tcPr>
            <w:tcW w:type="dxa" w:w="2880"/>
          </w:tcPr>
          <w:p>
            <w:r>
              <w:t>1033.3%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