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</w:r>
          </w:p>
        </w:tc>
        <w:tc>
          <w:tcPr>
            <w:tcW w:type="dxa" w:w="2880"/>
          </w:tcPr>
          <w:p>
            <w:r>
              <w:t>ar(ΔABC)/ar(ΔPQR) = AB²/PQ² = 16/81</w:t>
              <w:br/>
              <w:t>(4) 16:81</w:t>
            </w:r>
          </w:p>
        </w:tc>
        <w:tc>
          <w:tcPr>
            <w:tcW w:type="dxa" w:w="2880"/>
          </w:tcPr>
          <w:p>
            <w:r>
              <w:t>1266.7%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