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25.</w:t>
              <w:tab/>
              <w:t>Section formula</w:t>
            </w:r>
          </w:p>
          <w:p>
            <w:r>
              <w:tab/>
            </w:r>
          </w:p>
          <w:p>
            <w:r>
              <w:t>Image: image10.png</w:t>
            </w:r>
          </w:p>
          <w:p/>
          <w:p>
            <w:r>
              <w:drawing>
                <wp:inline xmlns:a="http://schemas.openxmlformats.org/drawingml/2006/main" xmlns:pic="http://schemas.openxmlformats.org/drawingml/2006/picture">
                  <wp:extent cx="1828800" cy="230032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300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/>
          <w:p>
            <w:r>
              <w:t>→</w:t>
            </w:r>
          </w:p>
          <w:p>
            <w:r>
              <w:t>→ 1 (1) + x</w:t>
            </w:r>
          </w:p>
        </w:tc>
        <w:tc>
          <w:tcPr>
            <w:tcW w:type="dxa" w:w="2880"/>
          </w:tcPr>
          <w:p>
            <w:r>
              <w:t>26) cosecθ-sinθ=m, secθ-cosθ=n</w:t>
              <w:br/>
              <w:t>((cosecθ-sinθ)²(secθ-cosθ))²/³ +</w:t>
            </w:r>
          </w:p>
        </w:tc>
        <w:tc>
          <w:tcPr>
            <w:tcW w:type="dxa" w:w="2880"/>
          </w:tcPr>
          <w:p>
            <w:r>
              <w:t>119.0%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