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36.</w:t>
              <w:tab/>
              <w:t xml:space="preserve">(i) </w:t>
              <w:tab/>
              <w:t>(0, 10)</w:t>
            </w:r>
          </w:p>
          <w:p/>
          <w:p/>
          <w:p>
            <w:r>
              <w:t>(ii)</w:t>
              <w:tab/>
              <w:t>(3, 5)</w:t>
            </w:r>
          </w:p>
          <w:p/>
          <w:p/>
          <w:p>
            <w:r>
              <w:t>(iii)</w:t>
              <w:tab/>
              <w:t>4m</w:t>
            </w:r>
          </w:p>
          <w:p/>
        </w:tc>
        <w:tc>
          <w:tcPr>
            <w:tcW w:type="dxa" w:w="2880"/>
          </w:tcPr>
          <w:p>
            <w:r>
              <w:t>Q36</w:t>
              <w:br/>
              <w:t>(I) (0,10)</w:t>
              <w:br/>
              <w:t>(II)- (3,5)</w:t>
              <w:br/>
              <w:t>(III)- 4m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