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37.</w:t>
              <w:tab/>
              <w:t>(i)</w:t>
              <w:tab/>
              <w:t>Parabola</w:t>
            </w:r>
          </w:p>
          <w:p/>
          <w:p/>
          <w:p>
            <w:r>
              <w:t>(ii)</w:t>
              <w:tab/>
              <w:t>1</w:t>
            </w:r>
          </w:p>
          <w:p/>
          <w:p/>
          <w:p>
            <w:r>
              <w:t>(iii)</w:t>
              <w:tab/>
              <w:t>–3, 2</w:t>
            </w:r>
          </w:p>
          <w:p/>
        </w:tc>
        <w:tc>
          <w:tcPr>
            <w:tcW w:type="dxa" w:w="2880"/>
          </w:tcPr>
          <w:p>
            <w:r>
              <w:t>Q37</w:t>
              <w:br/>
              <w:t>(I) Parabola</w:t>
              <w:br/>
              <w:t>(II)- 1</w:t>
              <w:br/>
              <w:t>(III)- -3,2</w:t>
            </w:r>
          </w:p>
        </w:tc>
        <w:tc>
          <w:tcPr>
            <w:tcW w:type="dxa" w:w="2880"/>
          </w:tcPr>
          <w:p>
            <w:r>
              <w:t>17.9%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