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38.</w:t>
              <w:tab/>
              <w:t xml:space="preserve">(i) </w:t>
              <w:tab/>
              <w:t>24 cm2</w:t>
            </w:r>
          </w:p>
          <w:p/>
          <w:p/>
          <w:p>
            <w:r>
              <w:t>(ii)</w:t>
              <w:tab/>
              <w:t>RHS</w:t>
            </w:r>
          </w:p>
          <w:p/>
          <w:p/>
          <w:p>
            <w:r>
              <w:t>(iii)</w:t>
              <w:tab/>
              <w:t>16:81</w:t>
            </w:r>
          </w:p>
          <w:p/>
        </w:tc>
        <w:tc>
          <w:tcPr>
            <w:tcW w:type="dxa" w:w="2880"/>
          </w:tcPr>
          <w:p>
            <w:r>
              <w:t>Q38.</w:t>
              <w:br/>
              <w:t>(I) 24 cm²</w:t>
              <w:br/>
              <w:t>(II)- RHS</w:t>
              <w:br/>
              <w:t>(III)- 16:81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