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36.(i)</w:t>
              <w:tab/>
              <w:t>(2) (0, 12)</w:t>
            </w:r>
          </w:p>
          <w:p/>
          <w:p/>
          <w:p>
            <w:r>
              <w:t>(ii)</w:t>
              <w:tab/>
              <w:t>(1) (3, 5)</w:t>
            </w:r>
          </w:p>
          <w:p/>
          <w:p/>
          <w:p>
            <w:r>
              <w:t>(iii)</w:t>
              <w:tab/>
              <w:t>(3) 5m</w:t>
            </w:r>
          </w:p>
          <w:p/>
        </w:tc>
        <w:tc>
          <w:tcPr>
            <w:tcW w:type="dxa" w:w="2880"/>
          </w:tcPr>
          <w:p>
            <w:r>
              <w:t>Section E</w:t>
              <w:br/>
              <w:t>36. (i) n (9,12)</w:t>
              <w:br/>
              <w:t>(ii) n (3,5)</w:t>
              <w:br/>
              <w:t>(iii) 3m</w:t>
            </w:r>
          </w:p>
        </w:tc>
        <w:tc>
          <w:tcPr>
            <w:tcW w:type="dxa" w:w="2880"/>
          </w:tcPr>
          <w:p>
            <w:r>
              <w:t>48.6%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