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36.</w:t>
              <w:tab/>
              <w:t>(i)</w:t>
              <w:tab/>
              <w:t>→ (2)(0, 12)</w:t>
            </w:r>
          </w:p>
          <w:p/>
          <w:p/>
          <w:p>
            <w:r>
              <w:t>(ii)</w:t>
              <w:tab/>
              <w:t>→ (1) (3,5)</w:t>
            </w:r>
          </w:p>
          <w:p/>
          <w:p/>
          <w:p>
            <w:r>
              <w:t>(iii)</w:t>
              <w:tab/>
              <w:t>→ (3) 5 m</w:t>
            </w:r>
          </w:p>
          <w:p/>
        </w:tc>
        <w:tc>
          <w:tcPr>
            <w:tcW w:type="dxa" w:w="2880"/>
          </w:tcPr>
          <w:p>
            <w:r>
              <w:t>i) -&gt; (b) (0,12) ✓</w:t>
              <w:br/>
              <w:t>ii) -&gt; (i) (3,5) ✓</w:t>
              <w:br/>
              <w:t>iii) -&gt; (3) 5m ✓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