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11.</w:t>
        <w:tab/>
        <w:t>The object distance should be less than the focal length for the formation of an erect image on a concave mirror. Hence, the range of distance of object from the mirror should be less than 20 cm i.e. from 0 to 20 cm in front of the mirror from the pole. The nature of image so formed will be virtual and erect. The size of the image will be larger than the object.</w:t>
      </w:r>
    </w:p>
    <w:p>
      <w:r>
        <w:t>Image: image1.wmf</w:t>
      </w:r>
    </w:p>
    <w:p>
      <w:r/>
    </w:p>
    <w:p/>
    <w:p>
      <w:r>
        <w:t>Since blue colour has a shorter wavelength and red colour has a longer wavelength, the red colour is able to reach our eyes after the atmospheric scattering of light whereas, the blue colour is scattered all over. Therefore, the sun appears reddish during early in the morning.</w:t>
      </w:r>
    </w:p>
    <w:p/>
    <w:p/>
    <w:p>
      <w:r>
        <w:t>Power of accommodation of eye is the ability of the eye lens to focus near and far objects clearly on the retina by adjusting its focal length. Poer of accommodation of the eye is limited. It implies the focal length of the eye lens cannot be reduced beyond certain minimum limit.</w:t>
      </w:r>
    </w:p>
    <w:p/>
    <w:p/>
    <w:p>
      <w:r>
        <w:t>Least distance of distinct vision for a normal human being is 25 cm.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