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(2) Common defect of vision</w:t>
      </w:r>
    </w:p>
    <w:p>
      <w:r>
        <w:t>(1) Myopia</w:t>
      </w:r>
    </w:p>
    <w:p>
      <w:r>
        <w:t>(2) Hypermetropia</w:t>
      </w:r>
    </w:p>
    <w:p>
      <w:r>
        <w:t>Myopia can be corrected by using concave lens</w:t>
      </w:r>
    </w:p>
    <w:p>
      <w:r>
        <w:t>Image: image9.png</w:t>
      </w:r>
    </w:p>
    <w:p>
      <w:r>
        <w:drawing>
          <wp:inline xmlns:a="http://schemas.openxmlformats.org/drawingml/2006/main" xmlns:pic="http://schemas.openxmlformats.org/drawingml/2006/picture">
            <wp:extent cx="1828800" cy="839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391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Correction for Myopia</w:t>
      </w:r>
    </w:p>
    <w:p/>
    <w:p>
      <w:r>
        <w:t>Hypermetropia can be corrected by using convex lens</w:t>
      </w:r>
    </w:p>
    <w:p>
      <w:r>
        <w:t>Image: image10.wmf</w:t>
      </w:r>
    </w:p>
    <w:p>
      <w:r/>
    </w:p>
    <w:p/>
    <w:p>
      <w:r>
        <w:t>Correction for Hypermetropia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