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E8A" w:rsidRDefault="00A22E8A" w:rsidP="00A22E8A">
      <w:pPr>
        <w:pStyle w:val="Title"/>
      </w:pPr>
      <w:r>
        <w:t xml:space="preserve">Terror Management </w:t>
      </w:r>
      <w:r>
        <w:t>SDM</w:t>
      </w:r>
      <w:r>
        <w:t xml:space="preserve"> Documentation</w:t>
      </w:r>
    </w:p>
    <w:p w:rsidR="00A22E8A" w:rsidRDefault="00A22E8A" w:rsidP="00A22E8A">
      <w:pPr>
        <w:pStyle w:val="Heading1"/>
      </w:pPr>
      <w:r>
        <w:t>Overview</w:t>
      </w:r>
      <w:r>
        <w:rPr>
          <w:rStyle w:val="FootnoteReference"/>
        </w:rPr>
        <w:footnoteReference w:id="1"/>
      </w:r>
    </w:p>
    <w:p w:rsidR="00A22E8A" w:rsidRPr="00F231B1" w:rsidRDefault="00A22E8A" w:rsidP="00A22E8A">
      <w:r>
        <w:t xml:space="preserve">This model is a basic </w:t>
      </w:r>
      <w:r w:rsidR="00B9740C">
        <w:t>SDM</w:t>
      </w:r>
      <w:r>
        <w:t xml:space="preserve"> developed to model the resulting increase in “religiosity” (as energy) during and after the presence of some threat related input. It is designed in order to be scalable and reusable </w:t>
      </w:r>
      <w:r w:rsidR="00B9740C">
        <w:t xml:space="preserve">in other models (such as the ABM published in Shults et al. (Submitted). It incorporates the relevant aspects of terror management theory (TMT) and situates it within an evolutionary paradigm inspired by the hazard precaution literature </w:t>
      </w:r>
      <w:r w:rsidR="00B9740C">
        <w:fldChar w:fldCharType="begin" w:fldLock="1"/>
      </w:r>
      <w:r w:rsidR="0051002D">
        <w:instrText>ADDIN CSL_CITATION { "citationItems" : [ { "id" : "ITEM-1", "itemData" : { "author" : [ { "dropping-particle" : "", "family" : "Li\u00e9nard", "given" : "Pierre", "non-dropping-particle" : "", "parse-names" : false, "suffix" : "" }, { "dropping-particle" : "", "family" : "Boyer", "given" : "Pascal", "non-dropping-particle" : "", "parse-names" : false, "suffix" : "" } ], "container-title" : "American Anthropologist", "id" : "ITEM-1", "issue" : "4", "issued" : { "date-parts" : [ [ "2006" ] ] }, "page" : "814-827", "title" : "Whence Collective Rituals? A Cultural Selection Model of Ritualized Behavior", "type" : "article-journal", "volume" : "108" }, "uris" : [ "http://www.mendeley.com/documents/?uuid=bb9f8a8e-0806-4e86-97fe-d53b9cfa8b95" ] }, { "id" : "ITEM-2", "itemData" : { "DOI" : "10.1016/j.religion.2008.01.004", "ISBN" : "0048-721X", "ISSN" : "0048721X", "abstract" : "This study presents an attempt to integrate two theories about ritual: the theory that McCauley and Lawson developed in Bringing Ritual to Mind; Psychological Foundations of Cultural Forms and the theory that Boyer and Li\u00e9nard presented in a target article in Behavioral and Brain Sciences, 'Why ritualized behavior in humans? Precaution systems and action-parsing in developmental, pathological and cultural rituals' and in another article published in the American Anthropologist, 'Whence collective rituals? A cultural selection model of ritualized behavior'. \u00a9 2008 Elsevier Ltd. All rights reserved.", "author" : [ { "dropping-particle" : "", "family" : "Li\u00e9nard", "given" : "Pierre", "non-dropping-particle" : "", "parse-names" : false, "suffix" : "" }, { "dropping-particle" : "", "family" : "Lawson", "given" : "E. Thomas", "non-dropping-particle" : "", "parse-names" : false, "suffix" : "" } ], "container-title" : "Religion", "id" : "ITEM-2", "issue" : "March", "issued" : { "date-parts" : [ [ "2008" ] ] }, "page" : "157-171", "title" : "Evoked culture, ritualization and religious rituals", "type" : "article-journal", "volume" : "38" }, "uris" : [ "http://www.mendeley.com/documents/?uuid=e1744e2d-77ec-4161-99ad-8be3b6b3694a" ] }, { "id" : "ITEM-3", "itemData" : { "DOI" : "10.1016/j.biopsycho.2010.08.003", "ISBN" : "1873-6246 (Electronic)\\r0301-0511 (Linking)", "ISSN" : "1873-6246", "PMID" : "20723575", "abstract" : "Results of three experiments support hypothesized properties of the security motivation system, a special motivational system for handling potential threats, as proposed by Szechtman and Woody (2004). First, mild stimuli suggesting potential harm produced a marked state of activation (evident in both objective and subjective measures), consistent with the hypothesis that the security motivation system is finely tuned for the detection of potential threat. Second, in the absence of corrective behavior, this evoked activation is persistent, supporting the hypothesis that once stimulated, the security motivation system produces an enduring motivational state involving the urge to engage in threat-reducing behavior. Third, engagement in corrective behavior was effective in returning activation levels to baseline, whereas cognitive reappraisal was not. These findings are consistent with the hypothesis that deactivation of the security motivation system depends on performance of security-related behaviors, rather than non-behavioral events such as cognitive re-evaluation of threat.", "author" : [ { "dropping-particle" : "", "family" : "Hinds", "given" : "Andrea L", "non-dropping-particle" : "", "parse-names" : false, "suffix" : "" }, { "dropping-particle" : "", "family" : "Woody", "given" : "Erik Z", "non-dropping-particle" : "", "parse-names" : false, "suffix" : "" }, { "dropping-particle" : "", "family" : "Drandic", "given" : "Ana", "non-dropping-particle" : "", "parse-names" : false, "suffix" : "" }, { "dropping-particle" : "", "family" : "Schmidt", "given" : "Louis a", "non-dropping-particle" : "", "parse-names" : false, "suffix" : "" }, { "dropping-particle" : "", "family" : "Ameringen", "given" : "Michael", "non-dropping-particle" : "Van", "parse-names" : false, "suffix" : "" }, { "dropping-particle" : "", "family" : "Coroneos", "given" : "Marie", "non-dropping-particle" : "", "parse-names" : false, "suffix" : "" }, { "dropping-particle" : "", "family" : "Szechtman", "given" : "Henry", "non-dropping-particle" : "", "parse-names" : false, "suffix" : "" } ], "container-title" : "Biological psychology", "id" : "ITEM-3", "issue" : "2", "issued" : { "date-parts" : [ [ "2010" ] ] }, "page" : "331-7", "publisher" : "Elsevier B.V.", "title" : "The psychology of potential threat: properties of the security motivation system.", "type" : "article-journal", "volume" : "85" }, "label" : "figure", "prefix" : "see ", "uris" : [ "http://www.mendeley.com/documents/?uuid=76fb6058-3442-4e68-826d-f74afec0163a" ] }, { "id" : "ITEM-4", "itemData" : { "DOI" : "10.1016/j.neubiorev.2010.08.003", "ISBN" : "1873-7528", "ISSN" : "01497634", "PMID" : "20727910", "abstract" : "The risk of improbable, uncertain, but grave potential dangers poses unique adaptive challenges. We argue that to manage such risks, a special motivational system evolved, which we term the security motivation system. Review of work across a range of species indicates that this system is designed to detect subtle indicators of potential threat, to probe the environment for further information about these possible dangers, and to motivate engagement in precautionary behaviors, which also serves to terminate security motivation. We advance a neurobiological-circuit model of the security motivation system, which consists of a cascade of cortico-striato-pallido-thalamo-cortical loops with brainstem-mediated negative feedback. We also detail the broader physiological network involved, including regulation of the parasympathetic nervous system, with emphasis on vagal regulation of cardiac output, and activation of the hypothalamic-pituitary-adrenocortical axis. Finally, we propose that some kinds of psychopathology stem from dysfunction of the security motivation system. In particular, obsessive compulsive disorder may result from the failure of a mechanism by which engagement in precautionary behavior normally terminates activation of the system. ?? 2010 Elsevier Ltd.", "author" : [ { "dropping-particle" : "", "family" : "Woody", "given" : "Erik Z.", "non-dropping-particle" : "", "parse-names" : false, "suffix" : "" }, { "dropping-particle" : "", "family" : "Szechtman", "given" : "Henry", "non-dropping-particle" : "", "parse-names" : false, "suffix" : "" } ], "container-title" : "Neuroscience and Biobehavioral Reviews", "id" : "ITEM-4", "issue" : "4", "issued" : { "date-parts" : [ [ "2011" ] ] }, "page" : "1019-1033", "publisher" : "Elsevier Ltd", "title" : "Adaptation to potential threat: The evolution, neurobiology, and psychopathology of the security motivation system", "type" : "article-journal", "volume" : "35" }, "uris" : [ "http://www.mendeley.com/documents/?uuid=d7761b9d-6d8d-4ef7-b2dc-175ea457db39" ] } ], "mendeley" : { "formattedCitation" : "(see Hinds et al., 2010; Li\u00e9nard &amp; Boyer, 2006; Li\u00e9nard &amp; Lawson, 2008; Woody &amp; Szechtman, 2011)", "plainTextFormattedCitation" : "(see Hinds et al., 2010; Li\u00e9nard &amp; Boyer, 2006; Li\u00e9nard &amp; Lawson, 2008; Woody &amp; Szechtman, 2011)", "previouslyFormattedCitation" : "(see Hinds et al., 2010; Li\u00e9nard &amp; Boyer, 2006; Li\u00e9nard &amp; Lawson, 2008; Woody &amp; Szechtman, 2011)" }, "properties" : { "noteIndex" : 0 }, "schema" : "https://github.com/citation-style-language/schema/raw/master/csl-citation.json" }</w:instrText>
      </w:r>
      <w:r w:rsidR="00B9740C">
        <w:fldChar w:fldCharType="separate"/>
      </w:r>
      <w:r w:rsidR="00B9740C" w:rsidRPr="00B9740C">
        <w:rPr>
          <w:noProof/>
        </w:rPr>
        <w:t>(see Hinds et al., 2010; Liénard &amp; Boyer, 2006; Liénard &amp; Lawson, 2008; Woody &amp; Szechtman, 2011)</w:t>
      </w:r>
      <w:r w:rsidR="00B9740C">
        <w:fldChar w:fldCharType="end"/>
      </w:r>
      <w:r w:rsidR="00B9740C">
        <w:t xml:space="preserve"> in order to</w:t>
      </w:r>
      <w:r>
        <w:t xml:space="preserve"> address di</w:t>
      </w:r>
      <w:r w:rsidR="00B9740C">
        <w:t>fferent environmental stressors</w:t>
      </w:r>
      <w:r>
        <w:t>. It serves as an agent based instanton of the general terror management model developed as an SDM as published in Shult</w:t>
      </w:r>
      <w:r w:rsidR="00B9740C">
        <w:t>s</w:t>
      </w:r>
      <w:r>
        <w:t xml:space="preserve"> et al. </w:t>
      </w:r>
      <w:r>
        <w:fldChar w:fldCharType="begin" w:fldLock="1"/>
      </w:r>
      <w:r>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"label" : "figure", "suppress-author" : 1, "uris" : [ "http://www.mendeley.com/documents/?uuid=397587fd-0969-4900-bf99-3dcec2e79de5" ] } ], "mendeley" : { "formattedCitation" : "(n.d.)", "manualFormatting" : "(Submitted)", "plainTextFormattedCitation" : "(n.d.)", "previouslyFormattedCitation" : "(n.d.)" }, "properties" : { "noteIndex" : 0 }, "schema" : "https://github.com/citation-style-language/schema/raw/master/csl-citation.json" }</w:instrText>
      </w:r>
      <w:r>
        <w:fldChar w:fldCharType="separate"/>
      </w:r>
      <w:r>
        <w:rPr>
          <w:noProof/>
        </w:rPr>
        <w:t>(Submitted</w:t>
      </w:r>
      <w:r w:rsidRPr="00DA0CDF">
        <w:rPr>
          <w:noProof/>
        </w:rPr>
        <w:t>)</w:t>
      </w:r>
      <w:r>
        <w:fldChar w:fldCharType="end"/>
      </w:r>
      <w:r w:rsidR="00B9740C">
        <w:t>.</w:t>
      </w:r>
    </w:p>
    <w:p w:rsidR="00A22E8A" w:rsidRDefault="00A22E8A" w:rsidP="00A22E8A">
      <w:pPr>
        <w:pStyle w:val="Heading2"/>
      </w:pPr>
      <w:r>
        <w:t>Purpose</w:t>
      </w:r>
    </w:p>
    <w:p w:rsidR="00A22E8A" w:rsidRPr="00F231B1" w:rsidRDefault="00A22E8A" w:rsidP="00A22E8A">
      <w:r>
        <w:t xml:space="preserve">The purpose of this </w:t>
      </w:r>
      <w:r w:rsidR="00B9740C">
        <w:t>SDM</w:t>
      </w:r>
      <w:r>
        <w:t xml:space="preserve"> is to </w:t>
      </w:r>
      <w:r w:rsidR="00B9740C">
        <w:t>formalize the interacting variables within the TMT system. This provides 1) a specific formalism for debate regarding the theory of terror management and 2) a computational basis for experimentation and theoretical extensions</w:t>
      </w:r>
      <w:r>
        <w:t>. It also serves to be an extendable framework for use in other, more general, cognitive architectures addressing religious beliefs and behaviors in the future.</w:t>
      </w:r>
    </w:p>
    <w:p w:rsidR="00A22E8A" w:rsidRDefault="00A22E8A" w:rsidP="00A22E8A">
      <w:pPr>
        <w:pStyle w:val="Heading2"/>
      </w:pPr>
      <w:r>
        <w:t>Variables</w:t>
      </w:r>
      <w:r w:rsidR="00044B69">
        <w:t>, Stocks, Flow Rates,</w:t>
      </w:r>
      <w:r>
        <w:t xml:space="preserve"> and Scales</w:t>
      </w:r>
    </w:p>
    <w:p w:rsidR="00A22E8A" w:rsidRDefault="00A22E8A" w:rsidP="00A22E8A"/>
    <w:tbl>
      <w:tblPr>
        <w:tblStyle w:val="PlainTable1"/>
        <w:tblW w:w="0" w:type="auto"/>
        <w:tblLook w:val="04A0" w:firstRow="1" w:lastRow="0" w:firstColumn="1" w:lastColumn="0" w:noHBand="0" w:noVBand="1"/>
      </w:tblPr>
      <w:tblGrid>
        <w:gridCol w:w="3234"/>
        <w:gridCol w:w="4534"/>
        <w:gridCol w:w="842"/>
        <w:gridCol w:w="740"/>
      </w:tblGrid>
      <w:tr w:rsidR="0051002D" w:rsidRPr="0051002D" w:rsidTr="00DA00C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34" w:type="dxa"/>
            <w:noWrap/>
            <w:hideMark/>
          </w:tcPr>
          <w:p w:rsidR="0051002D" w:rsidRPr="0051002D" w:rsidRDefault="0051002D" w:rsidP="0051002D">
            <w:pPr>
              <w:spacing w:after="0"/>
              <w:rPr>
                <w:u w:val="single"/>
              </w:rPr>
            </w:pPr>
            <w:r w:rsidRPr="0051002D">
              <w:rPr>
                <w:u w:val="single"/>
              </w:rPr>
              <w:t>Variable</w:t>
            </w:r>
          </w:p>
        </w:tc>
        <w:tc>
          <w:tcPr>
            <w:tcW w:w="4534" w:type="dxa"/>
            <w:noWrap/>
            <w:hideMark/>
          </w:tcPr>
          <w:p w:rsidR="0051002D" w:rsidRPr="0051002D" w:rsidRDefault="0051002D" w:rsidP="0051002D">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Description</w:t>
            </w:r>
          </w:p>
        </w:tc>
        <w:tc>
          <w:tcPr>
            <w:tcW w:w="842" w:type="dxa"/>
            <w:noWrap/>
            <w:hideMark/>
          </w:tcPr>
          <w:p w:rsidR="0051002D" w:rsidRPr="0051002D" w:rsidRDefault="0051002D" w:rsidP="0051002D">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Type</w:t>
            </w:r>
          </w:p>
        </w:tc>
        <w:tc>
          <w:tcPr>
            <w:tcW w:w="740" w:type="dxa"/>
            <w:noWrap/>
            <w:hideMark/>
          </w:tcPr>
          <w:p w:rsidR="0051002D" w:rsidRPr="0051002D" w:rsidRDefault="0051002D" w:rsidP="0051002D">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Initial Value</w:t>
            </w:r>
          </w:p>
        </w:tc>
      </w:tr>
      <w:tr w:rsidR="0051002D" w:rsidRPr="0051002D" w:rsidTr="00DA00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4" w:type="dxa"/>
            <w:noWrap/>
            <w:hideMark/>
          </w:tcPr>
          <w:p w:rsidR="0051002D" w:rsidRPr="0051002D" w:rsidRDefault="0051002D" w:rsidP="0051002D">
            <w:pPr>
              <w:spacing w:after="0"/>
              <w:rPr>
                <w:b w:val="0"/>
              </w:rPr>
            </w:pPr>
            <w:proofErr w:type="spellStart"/>
            <w:r w:rsidRPr="0051002D">
              <w:rPr>
                <w:b w:val="0"/>
              </w:rPr>
              <w:t>HabituationRate</w:t>
            </w:r>
            <w:proofErr w:type="spellEnd"/>
          </w:p>
        </w:tc>
        <w:tc>
          <w:tcPr>
            <w:tcW w:w="4534"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The extent to which participating in a ritual will result in efficacious mediation of perceived threats/hazards</w:t>
            </w:r>
            <w:r>
              <w:t>.</w:t>
            </w:r>
            <w:r>
              <w:rPr>
                <w:rStyle w:val="FootnoteReference"/>
              </w:rPr>
              <w:footnoteReference w:id="2"/>
            </w:r>
          </w:p>
        </w:tc>
        <w:tc>
          <w:tcPr>
            <w:tcW w:w="842"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double</w:t>
            </w:r>
          </w:p>
        </w:tc>
        <w:tc>
          <w:tcPr>
            <w:tcW w:w="740"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0.379</w:t>
            </w:r>
          </w:p>
        </w:tc>
      </w:tr>
      <w:tr w:rsidR="0051002D" w:rsidRPr="0051002D" w:rsidTr="00DA00CC">
        <w:trPr>
          <w:trHeight w:val="300"/>
        </w:trPr>
        <w:tc>
          <w:tcPr>
            <w:cnfStyle w:val="001000000000" w:firstRow="0" w:lastRow="0" w:firstColumn="1" w:lastColumn="0" w:oddVBand="0" w:evenVBand="0" w:oddHBand="0" w:evenHBand="0" w:firstRowFirstColumn="0" w:firstRowLastColumn="0" w:lastRowFirstColumn="0" w:lastRowLastColumn="0"/>
            <w:tcW w:w="3234" w:type="dxa"/>
            <w:noWrap/>
            <w:hideMark/>
          </w:tcPr>
          <w:p w:rsidR="0051002D" w:rsidRPr="0051002D" w:rsidRDefault="0051002D" w:rsidP="0051002D">
            <w:pPr>
              <w:spacing w:after="0"/>
              <w:rPr>
                <w:b w:val="0"/>
              </w:rPr>
            </w:pPr>
            <w:proofErr w:type="spellStart"/>
            <w:r w:rsidRPr="0051002D">
              <w:rPr>
                <w:b w:val="0"/>
              </w:rPr>
              <w:t>HazardContagion_Intensity</w:t>
            </w:r>
            <w:proofErr w:type="spellEnd"/>
          </w:p>
        </w:tc>
        <w:tc>
          <w:tcPr>
            <w:tcW w:w="4534"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The intensity of an encountered contagion hazard</w:t>
            </w:r>
          </w:p>
        </w:tc>
        <w:tc>
          <w:tcPr>
            <w:tcW w:w="842"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double</w:t>
            </w:r>
          </w:p>
        </w:tc>
        <w:tc>
          <w:tcPr>
            <w:tcW w:w="740"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0.974</w:t>
            </w:r>
          </w:p>
        </w:tc>
      </w:tr>
      <w:tr w:rsidR="0051002D" w:rsidRPr="0051002D" w:rsidTr="005100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HazardContagion_OccurenceRate</w:t>
            </w:r>
            <w:proofErr w:type="spellEnd"/>
          </w:p>
        </w:tc>
        <w:tc>
          <w:tcPr>
            <w:tcW w:w="4536"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The rate at which a contagion hazard will occur (modeled as simulated input into the system)</w:t>
            </w:r>
          </w:p>
        </w:tc>
        <w:tc>
          <w:tcPr>
            <w:tcW w:w="842"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100</w:t>
            </w:r>
          </w:p>
        </w:tc>
      </w:tr>
      <w:tr w:rsidR="0051002D" w:rsidRPr="0051002D" w:rsidTr="0051002D">
        <w:trPr>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HazardNatural_Intensity</w:t>
            </w:r>
            <w:proofErr w:type="spellEnd"/>
          </w:p>
        </w:tc>
        <w:tc>
          <w:tcPr>
            <w:tcW w:w="4536"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The intensity of an encountered natural hazard</w:t>
            </w:r>
          </w:p>
        </w:tc>
        <w:tc>
          <w:tcPr>
            <w:tcW w:w="842"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0.111</w:t>
            </w:r>
          </w:p>
        </w:tc>
      </w:tr>
      <w:tr w:rsidR="0051002D" w:rsidRPr="0051002D" w:rsidTr="005100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HazardNatural_OccurenceRate</w:t>
            </w:r>
            <w:proofErr w:type="spellEnd"/>
          </w:p>
        </w:tc>
        <w:tc>
          <w:tcPr>
            <w:tcW w:w="4536"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The rate at which a natural hazard will occur (modeled as simulated input into the system)</w:t>
            </w:r>
          </w:p>
        </w:tc>
        <w:tc>
          <w:tcPr>
            <w:tcW w:w="842"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100</w:t>
            </w:r>
          </w:p>
        </w:tc>
      </w:tr>
      <w:tr w:rsidR="0051002D" w:rsidRPr="0051002D" w:rsidTr="0051002D">
        <w:trPr>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HazardPredation_Intensity</w:t>
            </w:r>
            <w:proofErr w:type="spellEnd"/>
          </w:p>
        </w:tc>
        <w:tc>
          <w:tcPr>
            <w:tcW w:w="4536"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The intensity of an encountered predation hazard</w:t>
            </w:r>
          </w:p>
        </w:tc>
        <w:tc>
          <w:tcPr>
            <w:tcW w:w="842"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0.8</w:t>
            </w:r>
          </w:p>
        </w:tc>
      </w:tr>
      <w:tr w:rsidR="0051002D" w:rsidRPr="0051002D" w:rsidTr="005100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lastRenderedPageBreak/>
              <w:t>HazardPredation_OccurenceRate</w:t>
            </w:r>
            <w:proofErr w:type="spellEnd"/>
          </w:p>
        </w:tc>
        <w:tc>
          <w:tcPr>
            <w:tcW w:w="4536"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The rate at which a predation hazard will occur (modeled as simulated input into the system)</w:t>
            </w:r>
          </w:p>
        </w:tc>
        <w:tc>
          <w:tcPr>
            <w:tcW w:w="842"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100</w:t>
            </w:r>
          </w:p>
        </w:tc>
      </w:tr>
      <w:tr w:rsidR="0051002D" w:rsidRPr="0051002D" w:rsidTr="0051002D">
        <w:trPr>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HazardSocial_Intensity</w:t>
            </w:r>
            <w:proofErr w:type="spellEnd"/>
          </w:p>
        </w:tc>
        <w:tc>
          <w:tcPr>
            <w:tcW w:w="4536"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The intensity of an encountered social hazard</w:t>
            </w:r>
          </w:p>
        </w:tc>
        <w:tc>
          <w:tcPr>
            <w:tcW w:w="842"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0.116</w:t>
            </w:r>
          </w:p>
        </w:tc>
      </w:tr>
      <w:tr w:rsidR="0051002D" w:rsidRPr="0051002D" w:rsidTr="005100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HazardSocial_OccurenceRate</w:t>
            </w:r>
            <w:proofErr w:type="spellEnd"/>
          </w:p>
        </w:tc>
        <w:tc>
          <w:tcPr>
            <w:tcW w:w="4536"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The rate at which a social hazard will occur (modeled as simulated input into the system)</w:t>
            </w:r>
          </w:p>
        </w:tc>
        <w:tc>
          <w:tcPr>
            <w:tcW w:w="842"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100</w:t>
            </w:r>
          </w:p>
        </w:tc>
      </w:tr>
      <w:tr w:rsidR="0051002D" w:rsidRPr="0051002D" w:rsidTr="0051002D">
        <w:trPr>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prior_religiosity</w:t>
            </w:r>
            <w:proofErr w:type="spellEnd"/>
          </w:p>
        </w:tc>
        <w:tc>
          <w:tcPr>
            <w:tcW w:w="4536"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 xml:space="preserve">The initial setting for religiosity into the system. </w:t>
            </w:r>
          </w:p>
        </w:tc>
        <w:tc>
          <w:tcPr>
            <w:tcW w:w="842"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double</w:t>
            </w:r>
          </w:p>
        </w:tc>
        <w:tc>
          <w:tcPr>
            <w:tcW w:w="737" w:type="dxa"/>
            <w:noWrap/>
            <w:hideMark/>
          </w:tcPr>
          <w:p w:rsidR="0051002D" w:rsidRPr="0051002D" w:rsidRDefault="0051002D" w:rsidP="0051002D">
            <w:pPr>
              <w:spacing w:after="0"/>
              <w:cnfStyle w:val="000000000000" w:firstRow="0" w:lastRow="0" w:firstColumn="0" w:lastColumn="0" w:oddVBand="0" w:evenVBand="0" w:oddHBand="0" w:evenHBand="0" w:firstRowFirstColumn="0" w:firstRowLastColumn="0" w:lastRowFirstColumn="0" w:lastRowLastColumn="0"/>
            </w:pPr>
            <w:r w:rsidRPr="0051002D">
              <w:t>50</w:t>
            </w:r>
          </w:p>
        </w:tc>
      </w:tr>
      <w:tr w:rsidR="0051002D" w:rsidRPr="0051002D" w:rsidTr="005100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rsidR="0051002D" w:rsidRPr="0051002D" w:rsidRDefault="0051002D" w:rsidP="0051002D">
            <w:pPr>
              <w:spacing w:after="0"/>
              <w:rPr>
                <w:b w:val="0"/>
              </w:rPr>
            </w:pPr>
            <w:proofErr w:type="spellStart"/>
            <w:r w:rsidRPr="0051002D">
              <w:rPr>
                <w:b w:val="0"/>
              </w:rPr>
              <w:t>Religiosity_Decay</w:t>
            </w:r>
            <w:proofErr w:type="spellEnd"/>
          </w:p>
        </w:tc>
        <w:tc>
          <w:tcPr>
            <w:tcW w:w="4536"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The rate at which an individual's religiosity decays over time</w:t>
            </w:r>
            <w:r>
              <w:t>.</w:t>
            </w:r>
            <w:r>
              <w:rPr>
                <w:rStyle w:val="FootnoteReference"/>
              </w:rPr>
              <w:footnoteReference w:id="3"/>
            </w:r>
            <w:r w:rsidRPr="0051002D">
              <w:t xml:space="preserve"> (similar to the documented Tedium effect).</w:t>
            </w:r>
          </w:p>
        </w:tc>
        <w:tc>
          <w:tcPr>
            <w:tcW w:w="842" w:type="dxa"/>
            <w:noWrap/>
            <w:hideMark/>
          </w:tcPr>
          <w:p w:rsidR="0051002D" w:rsidRPr="0051002D" w:rsidRDefault="0051002D" w:rsidP="0051002D">
            <w:pPr>
              <w:spacing w:after="0"/>
              <w:cnfStyle w:val="000000100000" w:firstRow="0" w:lastRow="0" w:firstColumn="0" w:lastColumn="0" w:oddVBand="0" w:evenVBand="0" w:oddHBand="1" w:evenHBand="0" w:firstRowFirstColumn="0" w:firstRowLastColumn="0" w:lastRowFirstColumn="0" w:lastRowLastColumn="0"/>
            </w:pPr>
            <w:r w:rsidRPr="0051002D">
              <w:t>double</w:t>
            </w:r>
          </w:p>
        </w:tc>
        <w:tc>
          <w:tcPr>
            <w:tcW w:w="737" w:type="dxa"/>
            <w:noWrap/>
            <w:hideMark/>
          </w:tcPr>
          <w:p w:rsidR="0051002D" w:rsidRPr="0051002D" w:rsidRDefault="0051002D" w:rsidP="00B07C17">
            <w:pPr>
              <w:keepNext/>
              <w:spacing w:after="0"/>
              <w:cnfStyle w:val="000000100000" w:firstRow="0" w:lastRow="0" w:firstColumn="0" w:lastColumn="0" w:oddVBand="0" w:evenVBand="0" w:oddHBand="1" w:evenHBand="0" w:firstRowFirstColumn="0" w:firstRowLastColumn="0" w:lastRowFirstColumn="0" w:lastRowLastColumn="0"/>
            </w:pPr>
            <w:r w:rsidRPr="0051002D">
              <w:t>0.01</w:t>
            </w:r>
          </w:p>
        </w:tc>
      </w:tr>
      <w:tr w:rsidR="00DA00CC" w:rsidRPr="0051002D" w:rsidTr="0051002D">
        <w:trPr>
          <w:trHeight w:val="300"/>
        </w:trPr>
        <w:tc>
          <w:tcPr>
            <w:cnfStyle w:val="001000000000" w:firstRow="0" w:lastRow="0" w:firstColumn="1" w:lastColumn="0" w:oddVBand="0" w:evenVBand="0" w:oddHBand="0" w:evenHBand="0" w:firstRowFirstColumn="0" w:firstRowLastColumn="0" w:lastRowFirstColumn="0" w:lastRowLastColumn="0"/>
            <w:tcW w:w="3235" w:type="dxa"/>
            <w:noWrap/>
          </w:tcPr>
          <w:p w:rsidR="00DA00CC" w:rsidRPr="0051002D" w:rsidRDefault="00DA00CC" w:rsidP="0051002D">
            <w:pPr>
              <w:spacing w:after="0"/>
              <w:rPr>
                <w:b w:val="0"/>
              </w:rPr>
            </w:pPr>
            <w:proofErr w:type="spellStart"/>
            <w:r>
              <w:rPr>
                <w:b w:val="0"/>
              </w:rPr>
              <w:t>hazard_event_count_social</w:t>
            </w:r>
            <w:proofErr w:type="spellEnd"/>
          </w:p>
        </w:tc>
        <w:tc>
          <w:tcPr>
            <w:tcW w:w="4536" w:type="dxa"/>
            <w:noWrap/>
          </w:tcPr>
          <w:p w:rsidR="00DA00CC" w:rsidRPr="0051002D" w:rsidRDefault="00DA00CC" w:rsidP="0051002D">
            <w:pPr>
              <w:spacing w:after="0"/>
              <w:cnfStyle w:val="000000000000" w:firstRow="0" w:lastRow="0" w:firstColumn="0" w:lastColumn="0" w:oddVBand="0" w:evenVBand="0" w:oddHBand="0" w:evenHBand="0" w:firstRowFirstColumn="0" w:firstRowLastColumn="0" w:lastRowFirstColumn="0" w:lastRowLastColumn="0"/>
            </w:pPr>
            <w:r>
              <w:t>Count of total number of social threats encountered by the system</w:t>
            </w:r>
          </w:p>
        </w:tc>
        <w:tc>
          <w:tcPr>
            <w:tcW w:w="842" w:type="dxa"/>
            <w:noWrap/>
          </w:tcPr>
          <w:p w:rsidR="00DA00CC" w:rsidRPr="0051002D" w:rsidRDefault="00DA00CC" w:rsidP="0051002D">
            <w:pPr>
              <w:spacing w:after="0"/>
              <w:cnfStyle w:val="000000000000" w:firstRow="0" w:lastRow="0" w:firstColumn="0" w:lastColumn="0" w:oddVBand="0" w:evenVBand="0" w:oddHBand="0" w:evenHBand="0" w:firstRowFirstColumn="0" w:firstRowLastColumn="0" w:lastRowFirstColumn="0" w:lastRowLastColumn="0"/>
            </w:pPr>
            <w:r>
              <w:t>d</w:t>
            </w:r>
            <w:r w:rsidRPr="0051002D">
              <w:t>ouble</w:t>
            </w:r>
          </w:p>
        </w:tc>
        <w:tc>
          <w:tcPr>
            <w:tcW w:w="737" w:type="dxa"/>
            <w:noWrap/>
          </w:tcPr>
          <w:p w:rsidR="00DA00CC" w:rsidRPr="0051002D" w:rsidRDefault="00DA00CC" w:rsidP="00B07C17">
            <w:pPr>
              <w:keepNext/>
              <w:spacing w:after="0"/>
              <w:cnfStyle w:val="000000000000" w:firstRow="0" w:lastRow="0" w:firstColumn="0" w:lastColumn="0" w:oddVBand="0" w:evenVBand="0" w:oddHBand="0" w:evenHBand="0" w:firstRowFirstColumn="0" w:firstRowLastColumn="0" w:lastRowFirstColumn="0" w:lastRowLastColumn="0"/>
            </w:pPr>
            <w:r>
              <w:t>0</w:t>
            </w:r>
          </w:p>
        </w:tc>
      </w:tr>
      <w:tr w:rsidR="00DA00CC" w:rsidRPr="0051002D" w:rsidTr="005100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tcPr>
          <w:p w:rsidR="00DA00CC" w:rsidRPr="0051002D" w:rsidRDefault="00DA00CC" w:rsidP="00DA00CC">
            <w:pPr>
              <w:spacing w:after="0"/>
              <w:rPr>
                <w:b w:val="0"/>
              </w:rPr>
            </w:pPr>
            <w:proofErr w:type="spellStart"/>
            <w:r>
              <w:rPr>
                <w:b w:val="0"/>
              </w:rPr>
              <w:t>hazard_event_count_natural</w:t>
            </w:r>
            <w:proofErr w:type="spellEnd"/>
          </w:p>
        </w:tc>
        <w:tc>
          <w:tcPr>
            <w:tcW w:w="4536" w:type="dxa"/>
            <w:noWrap/>
          </w:tcPr>
          <w:p w:rsidR="00DA00CC" w:rsidRPr="0051002D" w:rsidRDefault="00DA00CC" w:rsidP="00DA00CC">
            <w:pPr>
              <w:spacing w:after="0"/>
              <w:cnfStyle w:val="000000100000" w:firstRow="0" w:lastRow="0" w:firstColumn="0" w:lastColumn="0" w:oddVBand="0" w:evenVBand="0" w:oddHBand="1" w:evenHBand="0" w:firstRowFirstColumn="0" w:firstRowLastColumn="0" w:lastRowFirstColumn="0" w:lastRowLastColumn="0"/>
            </w:pPr>
            <w:r>
              <w:t xml:space="preserve">Count of total number of </w:t>
            </w:r>
            <w:r>
              <w:t>natural</w:t>
            </w:r>
            <w:r>
              <w:t xml:space="preserve"> threats encountered by the system</w:t>
            </w:r>
          </w:p>
        </w:tc>
        <w:tc>
          <w:tcPr>
            <w:tcW w:w="842" w:type="dxa"/>
            <w:noWrap/>
          </w:tcPr>
          <w:p w:rsidR="00DA00CC" w:rsidRPr="0051002D" w:rsidRDefault="00DA00CC" w:rsidP="00DA00CC">
            <w:pPr>
              <w:spacing w:after="0"/>
              <w:cnfStyle w:val="000000100000" w:firstRow="0" w:lastRow="0" w:firstColumn="0" w:lastColumn="0" w:oddVBand="0" w:evenVBand="0" w:oddHBand="1" w:evenHBand="0" w:firstRowFirstColumn="0" w:firstRowLastColumn="0" w:lastRowFirstColumn="0" w:lastRowLastColumn="0"/>
            </w:pPr>
            <w:r>
              <w:t>d</w:t>
            </w:r>
            <w:r w:rsidRPr="0051002D">
              <w:t>ouble</w:t>
            </w:r>
          </w:p>
        </w:tc>
        <w:tc>
          <w:tcPr>
            <w:tcW w:w="737" w:type="dxa"/>
            <w:noWrap/>
          </w:tcPr>
          <w:p w:rsidR="00DA00CC" w:rsidRPr="0051002D" w:rsidRDefault="00DA00CC" w:rsidP="00DA00CC">
            <w:pPr>
              <w:keepNext/>
              <w:spacing w:after="0"/>
              <w:cnfStyle w:val="000000100000" w:firstRow="0" w:lastRow="0" w:firstColumn="0" w:lastColumn="0" w:oddVBand="0" w:evenVBand="0" w:oddHBand="1" w:evenHBand="0" w:firstRowFirstColumn="0" w:firstRowLastColumn="0" w:lastRowFirstColumn="0" w:lastRowLastColumn="0"/>
            </w:pPr>
            <w:r>
              <w:t>0</w:t>
            </w:r>
          </w:p>
        </w:tc>
      </w:tr>
      <w:tr w:rsidR="00DA00CC" w:rsidRPr="0051002D" w:rsidTr="00DA00CC">
        <w:trPr>
          <w:trHeight w:val="300"/>
        </w:trPr>
        <w:tc>
          <w:tcPr>
            <w:cnfStyle w:val="001000000000" w:firstRow="0" w:lastRow="0" w:firstColumn="1" w:lastColumn="0" w:oddVBand="0" w:evenVBand="0" w:oddHBand="0" w:evenHBand="0" w:firstRowFirstColumn="0" w:firstRowLastColumn="0" w:lastRowFirstColumn="0" w:lastRowLastColumn="0"/>
            <w:tcW w:w="3234" w:type="dxa"/>
            <w:noWrap/>
          </w:tcPr>
          <w:p w:rsidR="00DA00CC" w:rsidRPr="0051002D" w:rsidRDefault="00DA00CC" w:rsidP="00DA00CC">
            <w:pPr>
              <w:spacing w:after="0"/>
              <w:rPr>
                <w:b w:val="0"/>
              </w:rPr>
            </w:pPr>
            <w:proofErr w:type="spellStart"/>
            <w:r>
              <w:rPr>
                <w:b w:val="0"/>
              </w:rPr>
              <w:t>hazard_event_count_contagion</w:t>
            </w:r>
            <w:proofErr w:type="spellEnd"/>
          </w:p>
        </w:tc>
        <w:tc>
          <w:tcPr>
            <w:tcW w:w="4534" w:type="dxa"/>
            <w:noWrap/>
          </w:tcPr>
          <w:p w:rsidR="00DA00CC" w:rsidRPr="0051002D" w:rsidRDefault="00DA00CC" w:rsidP="00DA00CC">
            <w:pPr>
              <w:spacing w:after="0"/>
              <w:cnfStyle w:val="000000000000" w:firstRow="0" w:lastRow="0" w:firstColumn="0" w:lastColumn="0" w:oddVBand="0" w:evenVBand="0" w:oddHBand="0" w:evenHBand="0" w:firstRowFirstColumn="0" w:firstRowLastColumn="0" w:lastRowFirstColumn="0" w:lastRowLastColumn="0"/>
            </w:pPr>
            <w:r>
              <w:t xml:space="preserve">Count of total number of </w:t>
            </w:r>
            <w:r>
              <w:t>contagion</w:t>
            </w:r>
            <w:r>
              <w:t xml:space="preserve"> threats encountered by the system</w:t>
            </w:r>
          </w:p>
        </w:tc>
        <w:tc>
          <w:tcPr>
            <w:tcW w:w="842" w:type="dxa"/>
            <w:noWrap/>
          </w:tcPr>
          <w:p w:rsidR="00DA00CC" w:rsidRPr="0051002D" w:rsidRDefault="00DA00CC" w:rsidP="00DA00CC">
            <w:pPr>
              <w:spacing w:after="0"/>
              <w:cnfStyle w:val="000000000000" w:firstRow="0" w:lastRow="0" w:firstColumn="0" w:lastColumn="0" w:oddVBand="0" w:evenVBand="0" w:oddHBand="0" w:evenHBand="0" w:firstRowFirstColumn="0" w:firstRowLastColumn="0" w:lastRowFirstColumn="0" w:lastRowLastColumn="0"/>
            </w:pPr>
            <w:r>
              <w:t>d</w:t>
            </w:r>
            <w:r w:rsidRPr="0051002D">
              <w:t>ouble</w:t>
            </w:r>
          </w:p>
        </w:tc>
        <w:tc>
          <w:tcPr>
            <w:tcW w:w="740" w:type="dxa"/>
            <w:noWrap/>
          </w:tcPr>
          <w:p w:rsidR="00DA00CC" w:rsidRPr="0051002D" w:rsidRDefault="00DA00CC" w:rsidP="00DA00CC">
            <w:pPr>
              <w:keepNext/>
              <w:spacing w:after="0"/>
              <w:cnfStyle w:val="000000000000" w:firstRow="0" w:lastRow="0" w:firstColumn="0" w:lastColumn="0" w:oddVBand="0" w:evenVBand="0" w:oddHBand="0" w:evenHBand="0" w:firstRowFirstColumn="0" w:firstRowLastColumn="0" w:lastRowFirstColumn="0" w:lastRowLastColumn="0"/>
            </w:pPr>
            <w:r>
              <w:t>0</w:t>
            </w:r>
          </w:p>
        </w:tc>
      </w:tr>
      <w:tr w:rsidR="00DA00CC" w:rsidRPr="0051002D" w:rsidTr="00DA00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4" w:type="dxa"/>
            <w:noWrap/>
          </w:tcPr>
          <w:p w:rsidR="00DA00CC" w:rsidRPr="0051002D" w:rsidRDefault="00DA00CC" w:rsidP="00DA00CC">
            <w:pPr>
              <w:spacing w:after="0"/>
              <w:rPr>
                <w:b w:val="0"/>
              </w:rPr>
            </w:pPr>
            <w:proofErr w:type="spellStart"/>
            <w:r>
              <w:rPr>
                <w:b w:val="0"/>
              </w:rPr>
              <w:t>hazard_event_count_predation</w:t>
            </w:r>
            <w:proofErr w:type="spellEnd"/>
          </w:p>
        </w:tc>
        <w:tc>
          <w:tcPr>
            <w:tcW w:w="4534" w:type="dxa"/>
            <w:noWrap/>
          </w:tcPr>
          <w:p w:rsidR="00DA00CC" w:rsidRPr="0051002D" w:rsidRDefault="00DA00CC" w:rsidP="00DA00CC">
            <w:pPr>
              <w:spacing w:after="0"/>
              <w:cnfStyle w:val="000000100000" w:firstRow="0" w:lastRow="0" w:firstColumn="0" w:lastColumn="0" w:oddVBand="0" w:evenVBand="0" w:oddHBand="1" w:evenHBand="0" w:firstRowFirstColumn="0" w:firstRowLastColumn="0" w:lastRowFirstColumn="0" w:lastRowLastColumn="0"/>
            </w:pPr>
            <w:r>
              <w:t xml:space="preserve">Count of total number of </w:t>
            </w:r>
            <w:r>
              <w:t>predation</w:t>
            </w:r>
            <w:r>
              <w:t xml:space="preserve"> threats encountered by the system</w:t>
            </w:r>
          </w:p>
        </w:tc>
        <w:tc>
          <w:tcPr>
            <w:tcW w:w="842" w:type="dxa"/>
            <w:noWrap/>
          </w:tcPr>
          <w:p w:rsidR="00DA00CC" w:rsidRPr="0051002D" w:rsidRDefault="00DA00CC" w:rsidP="00DA00CC">
            <w:pPr>
              <w:spacing w:after="0"/>
              <w:cnfStyle w:val="000000100000" w:firstRow="0" w:lastRow="0" w:firstColumn="0" w:lastColumn="0" w:oddVBand="0" w:evenVBand="0" w:oddHBand="1" w:evenHBand="0" w:firstRowFirstColumn="0" w:firstRowLastColumn="0" w:lastRowFirstColumn="0" w:lastRowLastColumn="0"/>
            </w:pPr>
            <w:r>
              <w:t>d</w:t>
            </w:r>
            <w:r w:rsidRPr="0051002D">
              <w:t>ouble</w:t>
            </w:r>
          </w:p>
        </w:tc>
        <w:tc>
          <w:tcPr>
            <w:tcW w:w="740" w:type="dxa"/>
            <w:noWrap/>
          </w:tcPr>
          <w:p w:rsidR="00DA00CC" w:rsidRPr="0051002D" w:rsidRDefault="00DA00CC" w:rsidP="00DA00CC">
            <w:pPr>
              <w:keepNext/>
              <w:spacing w:after="0"/>
              <w:cnfStyle w:val="000000100000" w:firstRow="0" w:lastRow="0" w:firstColumn="0" w:lastColumn="0" w:oddVBand="0" w:evenVBand="0" w:oddHBand="1" w:evenHBand="0" w:firstRowFirstColumn="0" w:firstRowLastColumn="0" w:lastRowFirstColumn="0" w:lastRowLastColumn="0"/>
            </w:pPr>
            <w:r>
              <w:t>0</w:t>
            </w:r>
          </w:p>
        </w:tc>
      </w:tr>
    </w:tbl>
    <w:p w:rsidR="0051002D" w:rsidRDefault="00B07C17" w:rsidP="00B07C17">
      <w:pPr>
        <w:pStyle w:val="Caption"/>
      </w:pPr>
      <w:r>
        <w:t xml:space="preserve">Table </w:t>
      </w:r>
      <w:fldSimple w:instr=" SEQ Table \* ARABIC ">
        <w:r w:rsidR="00DA00CC">
          <w:rPr>
            <w:noProof/>
          </w:rPr>
          <w:t>1</w:t>
        </w:r>
      </w:fldSimple>
      <w:r>
        <w:t xml:space="preserve"> System Variables and Initial Values</w:t>
      </w:r>
    </w:p>
    <w:tbl>
      <w:tblPr>
        <w:tblStyle w:val="PlainTable1"/>
        <w:tblW w:w="0" w:type="auto"/>
        <w:tblLook w:val="04A0" w:firstRow="1" w:lastRow="0" w:firstColumn="1" w:lastColumn="0" w:noHBand="0" w:noVBand="1"/>
      </w:tblPr>
      <w:tblGrid>
        <w:gridCol w:w="3218"/>
        <w:gridCol w:w="4427"/>
        <w:gridCol w:w="1705"/>
      </w:tblGrid>
      <w:tr w:rsidR="00044B69" w:rsidRPr="0051002D" w:rsidTr="004A10E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18" w:type="dxa"/>
            <w:noWrap/>
            <w:hideMark/>
          </w:tcPr>
          <w:p w:rsidR="00044B69" w:rsidRPr="0051002D" w:rsidRDefault="00044B69" w:rsidP="00A41BFA">
            <w:pPr>
              <w:spacing w:after="0"/>
              <w:rPr>
                <w:u w:val="single"/>
              </w:rPr>
            </w:pPr>
            <w:r>
              <w:rPr>
                <w:u w:val="single"/>
              </w:rPr>
              <w:t>Stock</w:t>
            </w:r>
          </w:p>
        </w:tc>
        <w:tc>
          <w:tcPr>
            <w:tcW w:w="4427" w:type="dxa"/>
            <w:noWrap/>
            <w:hideMark/>
          </w:tcPr>
          <w:p w:rsidR="00044B69" w:rsidRPr="0051002D" w:rsidRDefault="00044B69" w:rsidP="00A41BFA">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Description</w:t>
            </w:r>
          </w:p>
        </w:tc>
        <w:tc>
          <w:tcPr>
            <w:tcW w:w="1705" w:type="dxa"/>
            <w:noWrap/>
            <w:hideMark/>
          </w:tcPr>
          <w:p w:rsidR="00044B69" w:rsidRPr="0051002D" w:rsidRDefault="00044B69" w:rsidP="00A41BFA">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Initial Value</w:t>
            </w:r>
          </w:p>
        </w:tc>
      </w:tr>
      <w:tr w:rsidR="00044B69" w:rsidRPr="0051002D" w:rsidTr="004A10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dxa"/>
            <w:noWrap/>
            <w:hideMark/>
          </w:tcPr>
          <w:p w:rsidR="00044B69" w:rsidRPr="0051002D" w:rsidRDefault="00044B69" w:rsidP="00A41BFA">
            <w:pPr>
              <w:spacing w:after="0"/>
              <w:rPr>
                <w:b w:val="0"/>
              </w:rPr>
            </w:pPr>
            <w:proofErr w:type="spellStart"/>
            <w:r>
              <w:rPr>
                <w:b w:val="0"/>
              </w:rPr>
              <w:t>CurrentReligiosity</w:t>
            </w:r>
            <w:proofErr w:type="spellEnd"/>
          </w:p>
        </w:tc>
        <w:tc>
          <w:tcPr>
            <w:tcW w:w="4427" w:type="dxa"/>
            <w:noWrap/>
            <w:hideMark/>
          </w:tcPr>
          <w:p w:rsidR="00044B69" w:rsidRPr="0051002D" w:rsidRDefault="00044B69" w:rsidP="00044B69">
            <w:pPr>
              <w:spacing w:after="0"/>
              <w:cnfStyle w:val="000000100000" w:firstRow="0" w:lastRow="0" w:firstColumn="0" w:lastColumn="0" w:oddVBand="0" w:evenVBand="0" w:oddHBand="1" w:evenHBand="0" w:firstRowFirstColumn="0" w:firstRowLastColumn="0" w:lastRowFirstColumn="0" w:lastRowLastColumn="0"/>
            </w:pPr>
            <w:r>
              <w:t>The current amount of energy in the system that is an individual’s religiosity.</w:t>
            </w:r>
          </w:p>
        </w:tc>
        <w:tc>
          <w:tcPr>
            <w:tcW w:w="1705" w:type="dxa"/>
            <w:noWrap/>
            <w:hideMark/>
          </w:tcPr>
          <w:p w:rsidR="00044B69" w:rsidRPr="0051002D" w:rsidRDefault="00044B69" w:rsidP="00A41BFA">
            <w:pPr>
              <w:spacing w:after="0"/>
              <w:cnfStyle w:val="000000100000" w:firstRow="0" w:lastRow="0" w:firstColumn="0" w:lastColumn="0" w:oddVBand="0" w:evenVBand="0" w:oddHBand="1" w:evenHBand="0" w:firstRowFirstColumn="0" w:firstRowLastColumn="0" w:lastRowFirstColumn="0" w:lastRowLastColumn="0"/>
            </w:pPr>
            <w:proofErr w:type="spellStart"/>
            <w:r>
              <w:t>prior_religiosity</w:t>
            </w:r>
            <w:proofErr w:type="spellEnd"/>
          </w:p>
        </w:tc>
      </w:tr>
      <w:tr w:rsidR="00044B69" w:rsidRPr="0051002D" w:rsidTr="004A10E0">
        <w:trPr>
          <w:trHeight w:val="300"/>
        </w:trPr>
        <w:tc>
          <w:tcPr>
            <w:cnfStyle w:val="001000000000" w:firstRow="0" w:lastRow="0" w:firstColumn="1" w:lastColumn="0" w:oddVBand="0" w:evenVBand="0" w:oddHBand="0" w:evenHBand="0" w:firstRowFirstColumn="0" w:firstRowLastColumn="0" w:lastRowFirstColumn="0" w:lastRowLastColumn="0"/>
            <w:tcW w:w="3218" w:type="dxa"/>
            <w:noWrap/>
            <w:hideMark/>
          </w:tcPr>
          <w:p w:rsidR="00044B69" w:rsidRPr="0051002D" w:rsidRDefault="00044B69" w:rsidP="00A41BFA">
            <w:pPr>
              <w:spacing w:after="0"/>
              <w:rPr>
                <w:b w:val="0"/>
              </w:rPr>
            </w:pPr>
            <w:proofErr w:type="spellStart"/>
            <w:r>
              <w:rPr>
                <w:b w:val="0"/>
              </w:rPr>
              <w:t>RitualEngagement</w:t>
            </w:r>
            <w:proofErr w:type="spellEnd"/>
          </w:p>
        </w:tc>
        <w:tc>
          <w:tcPr>
            <w:tcW w:w="4427" w:type="dxa"/>
            <w:noWrap/>
            <w:hideMark/>
          </w:tcPr>
          <w:p w:rsidR="00044B69" w:rsidRPr="0051002D" w:rsidRDefault="00044B69" w:rsidP="00A41BFA">
            <w:pPr>
              <w:spacing w:after="0"/>
              <w:cnfStyle w:val="000000000000" w:firstRow="0" w:lastRow="0" w:firstColumn="0" w:lastColumn="0" w:oddVBand="0" w:evenVBand="0" w:oddHBand="0" w:evenHBand="0" w:firstRowFirstColumn="0" w:firstRowLastColumn="0" w:lastRowFirstColumn="0" w:lastRowLastColumn="0"/>
            </w:pPr>
            <w:r>
              <w:t>The amount of religiosity that has instantiated itself as ritual engagement.</w:t>
            </w:r>
          </w:p>
        </w:tc>
        <w:tc>
          <w:tcPr>
            <w:tcW w:w="1705" w:type="dxa"/>
            <w:noWrap/>
            <w:hideMark/>
          </w:tcPr>
          <w:p w:rsidR="00044B69" w:rsidRPr="0051002D" w:rsidRDefault="00044B69" w:rsidP="00A41BFA">
            <w:pPr>
              <w:spacing w:after="0"/>
              <w:cnfStyle w:val="000000000000" w:firstRow="0" w:lastRow="0" w:firstColumn="0" w:lastColumn="0" w:oddVBand="0" w:evenVBand="0" w:oddHBand="0" w:evenHBand="0" w:firstRowFirstColumn="0" w:firstRowLastColumn="0" w:lastRowFirstColumn="0" w:lastRowLastColumn="0"/>
            </w:pPr>
            <w:proofErr w:type="spellStart"/>
            <w:r>
              <w:t>StressRate</w:t>
            </w:r>
            <w:proofErr w:type="spellEnd"/>
          </w:p>
        </w:tc>
      </w:tr>
      <w:tr w:rsidR="00044B69" w:rsidRPr="0051002D" w:rsidTr="004A10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dxa"/>
            <w:noWrap/>
            <w:hideMark/>
          </w:tcPr>
          <w:p w:rsidR="00044B69" w:rsidRPr="0051002D" w:rsidRDefault="00044B69" w:rsidP="00A41BFA">
            <w:pPr>
              <w:spacing w:after="0"/>
              <w:rPr>
                <w:b w:val="0"/>
              </w:rPr>
            </w:pPr>
            <w:proofErr w:type="spellStart"/>
            <w:r>
              <w:rPr>
                <w:b w:val="0"/>
              </w:rPr>
              <w:t>AddedReligiosity</w:t>
            </w:r>
            <w:proofErr w:type="spellEnd"/>
          </w:p>
        </w:tc>
        <w:tc>
          <w:tcPr>
            <w:tcW w:w="4427" w:type="dxa"/>
            <w:noWrap/>
            <w:hideMark/>
          </w:tcPr>
          <w:p w:rsidR="00044B69" w:rsidRPr="0051002D" w:rsidRDefault="00044B69" w:rsidP="00A41BFA">
            <w:pPr>
              <w:spacing w:after="0"/>
              <w:cnfStyle w:val="000000100000" w:firstRow="0" w:lastRow="0" w:firstColumn="0" w:lastColumn="0" w:oddVBand="0" w:evenVBand="0" w:oddHBand="1" w:evenHBand="0" w:firstRowFirstColumn="0" w:firstRowLastColumn="0" w:lastRowFirstColumn="0" w:lastRowLastColumn="0"/>
            </w:pPr>
            <w:r>
              <w:t>The additional religiosity added due to perturbations in the system.</w:t>
            </w:r>
          </w:p>
        </w:tc>
        <w:tc>
          <w:tcPr>
            <w:tcW w:w="1705" w:type="dxa"/>
            <w:noWrap/>
            <w:hideMark/>
          </w:tcPr>
          <w:p w:rsidR="00044B69" w:rsidRPr="0051002D" w:rsidRDefault="00044B69" w:rsidP="004A10E0">
            <w:pPr>
              <w:keepNext/>
              <w:spacing w:after="0"/>
              <w:cnfStyle w:val="000000100000" w:firstRow="0" w:lastRow="0" w:firstColumn="0" w:lastColumn="0" w:oddVBand="0" w:evenVBand="0" w:oddHBand="1" w:evenHBand="0" w:firstRowFirstColumn="0" w:firstRowLastColumn="0" w:lastRowFirstColumn="0" w:lastRowLastColumn="0"/>
            </w:pPr>
            <w:r>
              <w:t>0</w:t>
            </w:r>
          </w:p>
        </w:tc>
      </w:tr>
    </w:tbl>
    <w:p w:rsidR="00A22E8A" w:rsidRDefault="004A10E0" w:rsidP="004A10E0">
      <w:pPr>
        <w:pStyle w:val="Caption"/>
      </w:pPr>
      <w:r>
        <w:t xml:space="preserve">Table </w:t>
      </w:r>
      <w:fldSimple w:instr=" SEQ Table \* ARABIC ">
        <w:r w:rsidR="00DA00CC">
          <w:rPr>
            <w:noProof/>
          </w:rPr>
          <w:t>2</w:t>
        </w:r>
      </w:fldSimple>
      <w:r>
        <w:t xml:space="preserve"> System Stocks and Initial Values</w:t>
      </w:r>
    </w:p>
    <w:tbl>
      <w:tblPr>
        <w:tblStyle w:val="PlainTable1"/>
        <w:tblW w:w="0" w:type="auto"/>
        <w:tblLook w:val="04A0" w:firstRow="1" w:lastRow="0" w:firstColumn="1" w:lastColumn="0" w:noHBand="0" w:noVBand="1"/>
      </w:tblPr>
      <w:tblGrid>
        <w:gridCol w:w="2875"/>
        <w:gridCol w:w="2829"/>
        <w:gridCol w:w="3646"/>
      </w:tblGrid>
      <w:tr w:rsidR="00CB4B0F" w:rsidRPr="0051002D" w:rsidTr="00CB4B0F">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75" w:type="dxa"/>
            <w:noWrap/>
            <w:hideMark/>
          </w:tcPr>
          <w:p w:rsidR="004A10E0" w:rsidRPr="0051002D" w:rsidRDefault="004A10E0" w:rsidP="00A41BFA">
            <w:pPr>
              <w:spacing w:after="0"/>
              <w:rPr>
                <w:u w:val="single"/>
              </w:rPr>
            </w:pPr>
            <w:r>
              <w:rPr>
                <w:u w:val="single"/>
              </w:rPr>
              <w:t>Flow Rate</w:t>
            </w:r>
          </w:p>
        </w:tc>
        <w:tc>
          <w:tcPr>
            <w:tcW w:w="2829" w:type="dxa"/>
            <w:noWrap/>
            <w:hideMark/>
          </w:tcPr>
          <w:p w:rsidR="004A10E0" w:rsidRPr="0051002D" w:rsidRDefault="004A10E0" w:rsidP="00A41BFA">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Description</w:t>
            </w:r>
          </w:p>
        </w:tc>
        <w:tc>
          <w:tcPr>
            <w:tcW w:w="3646" w:type="dxa"/>
            <w:noWrap/>
            <w:hideMark/>
          </w:tcPr>
          <w:p w:rsidR="004A10E0" w:rsidRPr="0051002D" w:rsidRDefault="004A10E0" w:rsidP="00A41BFA">
            <w:pPr>
              <w:spacing w:after="0"/>
              <w:cnfStyle w:val="100000000000" w:firstRow="1" w:lastRow="0" w:firstColumn="0" w:lastColumn="0" w:oddVBand="0" w:evenVBand="0" w:oddHBand="0" w:evenHBand="0" w:firstRowFirstColumn="0" w:firstRowLastColumn="0" w:lastRowFirstColumn="0" w:lastRowLastColumn="0"/>
              <w:rPr>
                <w:u w:val="single"/>
              </w:rPr>
            </w:pPr>
            <w:r w:rsidRPr="0051002D">
              <w:rPr>
                <w:u w:val="single"/>
              </w:rPr>
              <w:t>Value</w:t>
            </w:r>
          </w:p>
        </w:tc>
      </w:tr>
      <w:tr w:rsidR="00CB4B0F" w:rsidRPr="0051002D" w:rsidTr="00CB4B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rsidR="004A10E0" w:rsidRPr="0051002D" w:rsidRDefault="004A10E0" w:rsidP="00A41BFA">
            <w:pPr>
              <w:spacing w:after="0"/>
              <w:rPr>
                <w:b w:val="0"/>
              </w:rPr>
            </w:pPr>
            <w:proofErr w:type="spellStart"/>
            <w:r>
              <w:rPr>
                <w:b w:val="0"/>
              </w:rPr>
              <w:t>ReligiosityDecayRate</w:t>
            </w:r>
            <w:proofErr w:type="spellEnd"/>
          </w:p>
        </w:tc>
        <w:tc>
          <w:tcPr>
            <w:tcW w:w="2829" w:type="dxa"/>
            <w:noWrap/>
            <w:hideMark/>
          </w:tcPr>
          <w:p w:rsidR="004A10E0" w:rsidRPr="0051002D" w:rsidRDefault="00516E70" w:rsidP="00A41BFA">
            <w:pPr>
              <w:spacing w:after="0"/>
              <w:cnfStyle w:val="000000100000" w:firstRow="0" w:lastRow="0" w:firstColumn="0" w:lastColumn="0" w:oddVBand="0" w:evenVBand="0" w:oddHBand="1" w:evenHBand="0" w:firstRowFirstColumn="0" w:firstRowLastColumn="0" w:lastRowFirstColumn="0" w:lastRowLastColumn="0"/>
            </w:pPr>
            <w:r>
              <w:t>The natural rate of decay of religiosity for the individual.</w:t>
            </w:r>
          </w:p>
        </w:tc>
        <w:tc>
          <w:tcPr>
            <w:tcW w:w="3646" w:type="dxa"/>
            <w:noWrap/>
            <w:hideMark/>
          </w:tcPr>
          <w:p w:rsidR="004A10E0" w:rsidRPr="00CB4B0F" w:rsidRDefault="00CB4B0F" w:rsidP="00A41BFA">
            <w:pPr>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6"/>
                <w:szCs w:val="16"/>
              </w:rPr>
            </w:pPr>
            <w:proofErr w:type="spellStart"/>
            <w:r w:rsidRPr="00CB4B0F">
              <w:rPr>
                <w:rFonts w:ascii="Consolas" w:hAnsi="Consolas" w:cs="Consolas"/>
                <w:color w:val="000000"/>
                <w:sz w:val="16"/>
                <w:szCs w:val="16"/>
              </w:rPr>
              <w:t>CurrentReligiosity</w:t>
            </w:r>
            <w:proofErr w:type="spellEnd"/>
            <w:r w:rsidRPr="00CB4B0F">
              <w:rPr>
                <w:rFonts w:ascii="Consolas" w:hAnsi="Consolas" w:cs="Consolas"/>
                <w:color w:val="000000"/>
                <w:sz w:val="16"/>
                <w:szCs w:val="16"/>
              </w:rPr>
              <w:t xml:space="preserve"> * </w:t>
            </w:r>
            <w:proofErr w:type="spellStart"/>
            <w:r w:rsidRPr="00CB4B0F">
              <w:rPr>
                <w:rFonts w:ascii="Consolas" w:hAnsi="Consolas" w:cs="Consolas"/>
                <w:color w:val="000000"/>
                <w:sz w:val="16"/>
                <w:szCs w:val="16"/>
              </w:rPr>
              <w:t>Religiosity_Decay</w:t>
            </w:r>
            <w:proofErr w:type="spellEnd"/>
          </w:p>
        </w:tc>
      </w:tr>
      <w:tr w:rsidR="00CB4B0F" w:rsidRPr="0051002D" w:rsidTr="00CB4B0F">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rsidR="004A10E0" w:rsidRPr="0051002D" w:rsidRDefault="00CB4B0F" w:rsidP="00A41BFA">
            <w:pPr>
              <w:spacing w:after="0"/>
              <w:rPr>
                <w:b w:val="0"/>
              </w:rPr>
            </w:pPr>
            <w:proofErr w:type="spellStart"/>
            <w:r>
              <w:rPr>
                <w:b w:val="0"/>
              </w:rPr>
              <w:t>StressRate</w:t>
            </w:r>
            <w:proofErr w:type="spellEnd"/>
          </w:p>
        </w:tc>
        <w:tc>
          <w:tcPr>
            <w:tcW w:w="2829" w:type="dxa"/>
            <w:noWrap/>
            <w:hideMark/>
          </w:tcPr>
          <w:p w:rsidR="004A10E0" w:rsidRPr="0051002D" w:rsidRDefault="00516E70" w:rsidP="00A41BFA">
            <w:pPr>
              <w:spacing w:after="0"/>
              <w:cnfStyle w:val="000000000000" w:firstRow="0" w:lastRow="0" w:firstColumn="0" w:lastColumn="0" w:oddVBand="0" w:evenVBand="0" w:oddHBand="0" w:evenHBand="0" w:firstRowFirstColumn="0" w:firstRowLastColumn="0" w:lastRowFirstColumn="0" w:lastRowLastColumn="0"/>
            </w:pPr>
            <w:r>
              <w:t>The amount of stress experienced due to the presence of perceived threats.</w:t>
            </w:r>
          </w:p>
        </w:tc>
        <w:tc>
          <w:tcPr>
            <w:tcW w:w="3646" w:type="dxa"/>
            <w:noWrap/>
            <w:hideMark/>
          </w:tcPr>
          <w:p w:rsidR="00CB4B0F" w:rsidRPr="00CB4B0F" w:rsidRDefault="00CB4B0F" w:rsidP="00CB4B0F">
            <w:pPr>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6"/>
              </w:rPr>
            </w:pPr>
            <w:proofErr w:type="spellStart"/>
            <w:r w:rsidRPr="00CB4B0F">
              <w:rPr>
                <w:rFonts w:ascii="Consolas" w:hAnsi="Consolas" w:cs="Consolas"/>
                <w:color w:val="000000"/>
                <w:sz w:val="16"/>
                <w:szCs w:val="16"/>
              </w:rPr>
              <w:t>Sociographic_Prudery</w:t>
            </w:r>
            <w:proofErr w:type="spellEnd"/>
          </w:p>
          <w:p w:rsidR="00CB4B0F" w:rsidRPr="00CB4B0F" w:rsidRDefault="00CB4B0F" w:rsidP="00CB4B0F">
            <w:pPr>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6"/>
              </w:rPr>
            </w:pPr>
            <w:r w:rsidRPr="00CB4B0F">
              <w:rPr>
                <w:rFonts w:ascii="Consolas" w:hAnsi="Consolas" w:cs="Consolas"/>
                <w:color w:val="000000"/>
                <w:sz w:val="16"/>
                <w:szCs w:val="16"/>
              </w:rPr>
              <w:t>+ (</w:t>
            </w:r>
            <w:proofErr w:type="spellStart"/>
            <w:r w:rsidRPr="00CB4B0F">
              <w:rPr>
                <w:rFonts w:ascii="Consolas" w:hAnsi="Consolas" w:cs="Consolas"/>
                <w:color w:val="000000"/>
                <w:sz w:val="16"/>
                <w:szCs w:val="16"/>
              </w:rPr>
              <w:t>HazardSocial_Intensity</w:t>
            </w:r>
            <w:proofErr w:type="spellEnd"/>
            <w:r>
              <w:rPr>
                <w:rFonts w:ascii="Consolas" w:hAnsi="Consolas" w:cs="Consolas"/>
                <w:color w:val="000000"/>
                <w:sz w:val="16"/>
                <w:szCs w:val="16"/>
              </w:rPr>
              <w:t xml:space="preserve"> </w:t>
            </w:r>
            <w:r w:rsidRPr="00CB4B0F">
              <w:rPr>
                <w:rFonts w:ascii="Consolas" w:hAnsi="Consolas" w:cs="Consolas"/>
                <w:color w:val="000000"/>
                <w:sz w:val="16"/>
                <w:szCs w:val="16"/>
              </w:rPr>
              <w:t>/</w:t>
            </w:r>
            <w:r>
              <w:rPr>
                <w:rFonts w:ascii="Consolas" w:hAnsi="Consolas" w:cs="Consolas"/>
                <w:color w:val="000000"/>
                <w:sz w:val="16"/>
                <w:szCs w:val="16"/>
              </w:rPr>
              <w:t xml:space="preserve"> </w:t>
            </w:r>
            <w:r w:rsidRPr="00CB4B0F">
              <w:rPr>
                <w:rFonts w:ascii="Consolas" w:hAnsi="Consolas" w:cs="Consolas"/>
                <w:color w:val="000000"/>
                <w:sz w:val="16"/>
                <w:szCs w:val="16"/>
              </w:rPr>
              <w:t>(</w:t>
            </w:r>
            <w:proofErr w:type="spellStart"/>
            <w:r w:rsidRPr="00CB4B0F">
              <w:rPr>
                <w:rFonts w:ascii="Consolas" w:hAnsi="Consolas" w:cs="Consolas"/>
                <w:color w:val="000000"/>
                <w:sz w:val="16"/>
                <w:szCs w:val="16"/>
              </w:rPr>
              <w:t>hazard_event_count_social</w:t>
            </w:r>
            <w:proofErr w:type="spellEnd"/>
            <w:r w:rsidRPr="00CB4B0F">
              <w:rPr>
                <w:rFonts w:ascii="Consolas" w:hAnsi="Consolas" w:cs="Consolas"/>
                <w:color w:val="000000"/>
                <w:sz w:val="16"/>
                <w:szCs w:val="16"/>
              </w:rPr>
              <w:t xml:space="preserve"> + 1)) </w:t>
            </w:r>
          </w:p>
          <w:p w:rsidR="00CB4B0F" w:rsidRPr="00CB4B0F" w:rsidRDefault="00CB4B0F" w:rsidP="00CB4B0F">
            <w:pPr>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6"/>
              </w:rPr>
            </w:pPr>
            <w:r w:rsidRPr="00CB4B0F">
              <w:rPr>
                <w:rFonts w:ascii="Consolas" w:hAnsi="Consolas" w:cs="Consolas"/>
                <w:color w:val="000000"/>
                <w:sz w:val="16"/>
                <w:szCs w:val="16"/>
              </w:rPr>
              <w:t>+ (</w:t>
            </w:r>
            <w:proofErr w:type="spellStart"/>
            <w:r w:rsidRPr="00CB4B0F">
              <w:rPr>
                <w:rFonts w:ascii="Consolas" w:hAnsi="Consolas" w:cs="Consolas"/>
                <w:color w:val="000000"/>
                <w:sz w:val="16"/>
                <w:szCs w:val="16"/>
              </w:rPr>
              <w:t>HazardNatural_Intensity</w:t>
            </w:r>
            <w:proofErr w:type="spellEnd"/>
            <w:r>
              <w:rPr>
                <w:rFonts w:ascii="Consolas" w:hAnsi="Consolas" w:cs="Consolas"/>
                <w:color w:val="000000"/>
                <w:sz w:val="16"/>
                <w:szCs w:val="16"/>
              </w:rPr>
              <w:t xml:space="preserve"> </w:t>
            </w:r>
            <w:r w:rsidRPr="00CB4B0F">
              <w:rPr>
                <w:rFonts w:ascii="Consolas" w:hAnsi="Consolas" w:cs="Consolas"/>
                <w:color w:val="000000"/>
                <w:sz w:val="16"/>
                <w:szCs w:val="16"/>
              </w:rPr>
              <w:t>/</w:t>
            </w:r>
            <w:r>
              <w:rPr>
                <w:rFonts w:ascii="Consolas" w:hAnsi="Consolas" w:cs="Consolas"/>
                <w:color w:val="000000"/>
                <w:sz w:val="16"/>
                <w:szCs w:val="16"/>
              </w:rPr>
              <w:t xml:space="preserve"> </w:t>
            </w:r>
            <w:r w:rsidRPr="00CB4B0F">
              <w:rPr>
                <w:rFonts w:ascii="Consolas" w:hAnsi="Consolas" w:cs="Consolas"/>
                <w:color w:val="000000"/>
                <w:sz w:val="16"/>
                <w:szCs w:val="16"/>
              </w:rPr>
              <w:t>(</w:t>
            </w:r>
            <w:proofErr w:type="spellStart"/>
            <w:r w:rsidRPr="00CB4B0F">
              <w:rPr>
                <w:rFonts w:ascii="Consolas" w:hAnsi="Consolas" w:cs="Consolas"/>
                <w:color w:val="000000"/>
                <w:sz w:val="16"/>
                <w:szCs w:val="16"/>
              </w:rPr>
              <w:t>hazard_event_count_natural</w:t>
            </w:r>
            <w:proofErr w:type="spellEnd"/>
            <w:r w:rsidRPr="00CB4B0F">
              <w:rPr>
                <w:rFonts w:ascii="Consolas" w:hAnsi="Consolas" w:cs="Consolas"/>
                <w:color w:val="000000"/>
                <w:sz w:val="16"/>
                <w:szCs w:val="16"/>
              </w:rPr>
              <w:t xml:space="preserve"> + 1)) </w:t>
            </w:r>
          </w:p>
          <w:p w:rsidR="00CB4B0F" w:rsidRPr="00CB4B0F" w:rsidRDefault="00CB4B0F" w:rsidP="00CB4B0F">
            <w:pPr>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6"/>
              </w:rPr>
            </w:pPr>
            <w:r w:rsidRPr="00CB4B0F">
              <w:rPr>
                <w:rFonts w:ascii="Consolas" w:hAnsi="Consolas" w:cs="Consolas"/>
                <w:color w:val="000000"/>
                <w:sz w:val="16"/>
                <w:szCs w:val="16"/>
              </w:rPr>
              <w:t>+ (</w:t>
            </w:r>
            <w:proofErr w:type="spellStart"/>
            <w:r w:rsidRPr="00CB4B0F">
              <w:rPr>
                <w:rFonts w:ascii="Consolas" w:hAnsi="Consolas" w:cs="Consolas"/>
                <w:color w:val="000000"/>
                <w:sz w:val="16"/>
                <w:szCs w:val="16"/>
              </w:rPr>
              <w:t>HazardContagion_Intensity</w:t>
            </w:r>
            <w:proofErr w:type="spellEnd"/>
            <w:r>
              <w:rPr>
                <w:rFonts w:ascii="Consolas" w:hAnsi="Consolas" w:cs="Consolas"/>
                <w:color w:val="000000"/>
                <w:sz w:val="16"/>
                <w:szCs w:val="16"/>
              </w:rPr>
              <w:t xml:space="preserve"> </w:t>
            </w:r>
            <w:r w:rsidRPr="00CB4B0F">
              <w:rPr>
                <w:rFonts w:ascii="Consolas" w:hAnsi="Consolas" w:cs="Consolas"/>
                <w:color w:val="000000"/>
                <w:sz w:val="16"/>
                <w:szCs w:val="16"/>
              </w:rPr>
              <w:t>/</w:t>
            </w:r>
            <w:r>
              <w:rPr>
                <w:rFonts w:ascii="Consolas" w:hAnsi="Consolas" w:cs="Consolas"/>
                <w:color w:val="000000"/>
                <w:sz w:val="16"/>
                <w:szCs w:val="16"/>
              </w:rPr>
              <w:t xml:space="preserve"> </w:t>
            </w:r>
            <w:r w:rsidRPr="00CB4B0F">
              <w:rPr>
                <w:rFonts w:ascii="Consolas" w:hAnsi="Consolas" w:cs="Consolas"/>
                <w:color w:val="000000"/>
                <w:sz w:val="16"/>
                <w:szCs w:val="16"/>
              </w:rPr>
              <w:t>(</w:t>
            </w:r>
            <w:proofErr w:type="spellStart"/>
            <w:r w:rsidRPr="00CB4B0F">
              <w:rPr>
                <w:rFonts w:ascii="Consolas" w:hAnsi="Consolas" w:cs="Consolas"/>
                <w:color w:val="000000"/>
                <w:sz w:val="16"/>
                <w:szCs w:val="16"/>
              </w:rPr>
              <w:t>hazard_event_count_contagion</w:t>
            </w:r>
            <w:proofErr w:type="spellEnd"/>
            <w:r w:rsidRPr="00CB4B0F">
              <w:rPr>
                <w:rFonts w:ascii="Consolas" w:hAnsi="Consolas" w:cs="Consolas"/>
                <w:color w:val="000000"/>
                <w:sz w:val="16"/>
                <w:szCs w:val="16"/>
              </w:rPr>
              <w:t xml:space="preserve"> + 1)) </w:t>
            </w:r>
          </w:p>
          <w:p w:rsidR="004A10E0" w:rsidRPr="00CB4B0F" w:rsidRDefault="00CB4B0F" w:rsidP="00CB4B0F">
            <w:pPr>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6"/>
              </w:rPr>
            </w:pPr>
            <w:r w:rsidRPr="00CB4B0F">
              <w:rPr>
                <w:rFonts w:ascii="Consolas" w:hAnsi="Consolas" w:cs="Consolas"/>
                <w:color w:val="000000"/>
                <w:sz w:val="16"/>
                <w:szCs w:val="16"/>
              </w:rPr>
              <w:t>+ (</w:t>
            </w:r>
            <w:proofErr w:type="spellStart"/>
            <w:r w:rsidRPr="00CB4B0F">
              <w:rPr>
                <w:rFonts w:ascii="Consolas" w:hAnsi="Consolas" w:cs="Consolas"/>
                <w:color w:val="000000"/>
                <w:sz w:val="16"/>
                <w:szCs w:val="16"/>
              </w:rPr>
              <w:t>HazardPredation_Intensity</w:t>
            </w:r>
            <w:proofErr w:type="spellEnd"/>
            <w:r>
              <w:rPr>
                <w:rFonts w:ascii="Consolas" w:hAnsi="Consolas" w:cs="Consolas"/>
                <w:color w:val="000000"/>
                <w:sz w:val="16"/>
                <w:szCs w:val="16"/>
              </w:rPr>
              <w:t xml:space="preserve"> </w:t>
            </w:r>
            <w:r w:rsidRPr="00CB4B0F">
              <w:rPr>
                <w:rFonts w:ascii="Consolas" w:hAnsi="Consolas" w:cs="Consolas"/>
                <w:color w:val="000000"/>
                <w:sz w:val="16"/>
                <w:szCs w:val="16"/>
              </w:rPr>
              <w:t>/</w:t>
            </w:r>
            <w:r>
              <w:rPr>
                <w:rFonts w:ascii="Consolas" w:hAnsi="Consolas" w:cs="Consolas"/>
                <w:color w:val="000000"/>
                <w:sz w:val="16"/>
                <w:szCs w:val="16"/>
              </w:rPr>
              <w:t xml:space="preserve"> </w:t>
            </w:r>
            <w:r w:rsidRPr="00CB4B0F">
              <w:rPr>
                <w:rFonts w:ascii="Consolas" w:hAnsi="Consolas" w:cs="Consolas"/>
                <w:color w:val="000000"/>
                <w:sz w:val="16"/>
                <w:szCs w:val="16"/>
              </w:rPr>
              <w:t>(</w:t>
            </w:r>
            <w:proofErr w:type="spellStart"/>
            <w:r w:rsidRPr="00CB4B0F">
              <w:rPr>
                <w:rFonts w:ascii="Consolas" w:hAnsi="Consolas" w:cs="Consolas"/>
                <w:color w:val="000000"/>
                <w:sz w:val="16"/>
                <w:szCs w:val="16"/>
              </w:rPr>
              <w:t>hazard_event_count_predation</w:t>
            </w:r>
            <w:proofErr w:type="spellEnd"/>
            <w:r w:rsidRPr="00CB4B0F">
              <w:rPr>
                <w:rFonts w:ascii="Consolas" w:hAnsi="Consolas" w:cs="Consolas"/>
                <w:color w:val="000000"/>
                <w:sz w:val="16"/>
                <w:szCs w:val="16"/>
              </w:rPr>
              <w:t xml:space="preserve"> + 1))</w:t>
            </w:r>
          </w:p>
        </w:tc>
      </w:tr>
      <w:tr w:rsidR="00CB4B0F" w:rsidRPr="0051002D" w:rsidTr="00CB4B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rsidR="004A10E0" w:rsidRPr="0051002D" w:rsidRDefault="00CB4B0F" w:rsidP="00A41BFA">
            <w:pPr>
              <w:spacing w:after="0"/>
              <w:rPr>
                <w:b w:val="0"/>
              </w:rPr>
            </w:pPr>
            <w:proofErr w:type="spellStart"/>
            <w:r>
              <w:rPr>
                <w:b w:val="0"/>
              </w:rPr>
              <w:t>EfficacyRate</w:t>
            </w:r>
            <w:proofErr w:type="spellEnd"/>
          </w:p>
        </w:tc>
        <w:tc>
          <w:tcPr>
            <w:tcW w:w="2829" w:type="dxa"/>
            <w:noWrap/>
            <w:hideMark/>
          </w:tcPr>
          <w:p w:rsidR="004A10E0" w:rsidRPr="0051002D" w:rsidRDefault="00516E70" w:rsidP="00A41BFA">
            <w:pPr>
              <w:spacing w:after="0"/>
              <w:cnfStyle w:val="000000100000" w:firstRow="0" w:lastRow="0" w:firstColumn="0" w:lastColumn="0" w:oddVBand="0" w:evenVBand="0" w:oddHBand="1" w:evenHBand="0" w:firstRowFirstColumn="0" w:firstRowLastColumn="0" w:lastRowFirstColumn="0" w:lastRowLastColumn="0"/>
            </w:pPr>
            <w:r>
              <w:t xml:space="preserve">The extent to which an individual perceives stress to </w:t>
            </w:r>
            <w:r>
              <w:lastRenderedPageBreak/>
              <w:t>be relieved via ritual participation</w:t>
            </w:r>
          </w:p>
        </w:tc>
        <w:tc>
          <w:tcPr>
            <w:tcW w:w="3646" w:type="dxa"/>
            <w:noWrap/>
            <w:hideMark/>
          </w:tcPr>
          <w:p w:rsidR="004A10E0" w:rsidRPr="00CB4B0F" w:rsidRDefault="00CB4B0F" w:rsidP="00CB4B0F">
            <w:pPr>
              <w:spacing w:after="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6"/>
                <w:szCs w:val="16"/>
              </w:rPr>
            </w:pPr>
            <w:r w:rsidRPr="00CB4B0F">
              <w:rPr>
                <w:rFonts w:ascii="Consolas" w:hAnsi="Consolas" w:cs="Consolas"/>
                <w:color w:val="000000"/>
                <w:sz w:val="16"/>
                <w:szCs w:val="16"/>
              </w:rPr>
              <w:lastRenderedPageBreak/>
              <w:t>(</w:t>
            </w:r>
            <w:proofErr w:type="spellStart"/>
            <w:r w:rsidRPr="00CB4B0F">
              <w:rPr>
                <w:rFonts w:ascii="Consolas" w:hAnsi="Consolas" w:cs="Consolas"/>
                <w:color w:val="000000"/>
                <w:sz w:val="16"/>
                <w:szCs w:val="16"/>
              </w:rPr>
              <w:t>RitualEngagement</w:t>
            </w:r>
            <w:proofErr w:type="spellEnd"/>
            <w:r w:rsidRPr="00CB4B0F">
              <w:rPr>
                <w:rFonts w:ascii="Consolas" w:hAnsi="Consolas" w:cs="Consolas"/>
                <w:color w:val="000000"/>
                <w:sz w:val="16"/>
                <w:szCs w:val="16"/>
              </w:rPr>
              <w:t xml:space="preserve"> * </w:t>
            </w:r>
            <w:proofErr w:type="spellStart"/>
            <w:r w:rsidRPr="00CB4B0F">
              <w:rPr>
                <w:rFonts w:ascii="Consolas" w:hAnsi="Consolas" w:cs="Consolas"/>
                <w:color w:val="000000"/>
                <w:sz w:val="16"/>
                <w:szCs w:val="16"/>
              </w:rPr>
              <w:t>HabituationRate</w:t>
            </w:r>
            <w:proofErr w:type="spellEnd"/>
            <w:r w:rsidRPr="00CB4B0F">
              <w:rPr>
                <w:rFonts w:ascii="Consolas" w:hAnsi="Consolas" w:cs="Consolas"/>
                <w:color w:val="000000"/>
                <w:sz w:val="16"/>
                <w:szCs w:val="16"/>
              </w:rPr>
              <w:t xml:space="preserve">)+ </w:t>
            </w:r>
            <w:proofErr w:type="spellStart"/>
            <w:r w:rsidRPr="00CB4B0F">
              <w:rPr>
                <w:rFonts w:ascii="Consolas" w:hAnsi="Consolas" w:cs="Consolas"/>
                <w:color w:val="000000"/>
                <w:sz w:val="16"/>
                <w:szCs w:val="16"/>
              </w:rPr>
              <w:t>Anthropomorphic_Promiscuity</w:t>
            </w:r>
            <w:proofErr w:type="spellEnd"/>
          </w:p>
        </w:tc>
      </w:tr>
      <w:tr w:rsidR="00CB4B0F" w:rsidRPr="0051002D" w:rsidTr="00CB4B0F">
        <w:trPr>
          <w:trHeight w:val="300"/>
        </w:trPr>
        <w:tc>
          <w:tcPr>
            <w:cnfStyle w:val="001000000000" w:firstRow="0" w:lastRow="0" w:firstColumn="1" w:lastColumn="0" w:oddVBand="0" w:evenVBand="0" w:oddHBand="0" w:evenHBand="0" w:firstRowFirstColumn="0" w:firstRowLastColumn="0" w:lastRowFirstColumn="0" w:lastRowLastColumn="0"/>
            <w:tcW w:w="2875" w:type="dxa"/>
            <w:noWrap/>
          </w:tcPr>
          <w:p w:rsidR="00CB4B0F" w:rsidRDefault="00CB4B0F" w:rsidP="00A41BFA">
            <w:pPr>
              <w:spacing w:after="0"/>
              <w:rPr>
                <w:b w:val="0"/>
              </w:rPr>
            </w:pPr>
            <w:proofErr w:type="spellStart"/>
            <w:r>
              <w:rPr>
                <w:b w:val="0"/>
              </w:rPr>
              <w:lastRenderedPageBreak/>
              <w:t>ReligiousIncreaseRate</w:t>
            </w:r>
            <w:proofErr w:type="spellEnd"/>
          </w:p>
        </w:tc>
        <w:tc>
          <w:tcPr>
            <w:tcW w:w="2829" w:type="dxa"/>
            <w:noWrap/>
          </w:tcPr>
          <w:p w:rsidR="00CB4B0F" w:rsidRPr="0051002D" w:rsidRDefault="00516E70" w:rsidP="00A41BFA">
            <w:pPr>
              <w:spacing w:after="0"/>
              <w:cnfStyle w:val="000000000000" w:firstRow="0" w:lastRow="0" w:firstColumn="0" w:lastColumn="0" w:oddVBand="0" w:evenVBand="0" w:oddHBand="0" w:evenHBand="0" w:firstRowFirstColumn="0" w:firstRowLastColumn="0" w:lastRowFirstColumn="0" w:lastRowLastColumn="0"/>
            </w:pPr>
            <w:r>
              <w:t>The added religiosity to the system because of a perceived threat.</w:t>
            </w:r>
          </w:p>
        </w:tc>
        <w:tc>
          <w:tcPr>
            <w:tcW w:w="3646" w:type="dxa"/>
            <w:noWrap/>
          </w:tcPr>
          <w:p w:rsidR="00CB4B0F" w:rsidRPr="00CB4B0F" w:rsidRDefault="00CB4B0F" w:rsidP="00DA00CC">
            <w:pPr>
              <w:keepNext/>
              <w:spacing w:after="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6"/>
                <w:szCs w:val="16"/>
              </w:rPr>
            </w:pPr>
            <w:proofErr w:type="spellStart"/>
            <w:r w:rsidRPr="00CB4B0F">
              <w:rPr>
                <w:rFonts w:ascii="Consolas" w:hAnsi="Consolas" w:cs="Consolas"/>
                <w:color w:val="000000"/>
                <w:sz w:val="16"/>
                <w:szCs w:val="16"/>
              </w:rPr>
              <w:t>AddedReligiosity</w:t>
            </w:r>
            <w:proofErr w:type="spellEnd"/>
          </w:p>
        </w:tc>
      </w:tr>
    </w:tbl>
    <w:p w:rsidR="004A10E0" w:rsidRPr="004A10E0" w:rsidRDefault="00DA00CC" w:rsidP="00DA00CC">
      <w:pPr>
        <w:pStyle w:val="Caption"/>
      </w:pPr>
      <w:r>
        <w:t xml:space="preserve">Table </w:t>
      </w:r>
      <w:fldSimple w:instr=" SEQ Table \* ARABIC ">
        <w:r>
          <w:rPr>
            <w:noProof/>
          </w:rPr>
          <w:t>3</w:t>
        </w:r>
      </w:fldSimple>
      <w:r>
        <w:t xml:space="preserve"> Flor Rates and Calculations</w:t>
      </w:r>
    </w:p>
    <w:p w:rsidR="00A22E8A" w:rsidRDefault="00A22E8A" w:rsidP="00A22E8A">
      <w:pPr>
        <w:pStyle w:val="Heading3"/>
      </w:pPr>
      <w:r>
        <w:t>Additional information</w:t>
      </w:r>
    </w:p>
    <w:p w:rsidR="00A22E8A" w:rsidRPr="003B3994" w:rsidRDefault="00A22E8A" w:rsidP="00A22E8A">
      <w:r>
        <w:t xml:space="preserve">The variables included in the table above are initialized with parameters given in </w:t>
      </w:r>
      <w:r w:rsidR="00B07C17">
        <w:t xml:space="preserve">the final column. </w:t>
      </w:r>
    </w:p>
    <w:p w:rsidR="00A22E8A" w:rsidRDefault="00A22E8A" w:rsidP="00A22E8A">
      <w:pPr>
        <w:pStyle w:val="Heading2"/>
      </w:pPr>
      <w:r>
        <w:t>Process overview and scheduling</w:t>
      </w:r>
    </w:p>
    <w:p w:rsidR="009B4F1F" w:rsidRDefault="0066538C" w:rsidP="009B4F1F">
      <w:r>
        <w:t>The SDM itself can be described by the stock and flow diagram below (see Figure 1).</w:t>
      </w:r>
    </w:p>
    <w:p w:rsidR="00044B69" w:rsidRDefault="00044B69" w:rsidP="00044B69">
      <w:pPr>
        <w:keepNext/>
      </w:pPr>
      <w:r w:rsidRPr="00044B69">
        <w:rPr>
          <w:noProof/>
        </w:rPr>
        <w:drawing>
          <wp:inline distT="0" distB="0" distL="0" distR="0" wp14:anchorId="7042F490" wp14:editId="53AD27CE">
            <wp:extent cx="5943600" cy="4261729"/>
            <wp:effectExtent l="0" t="0" r="0" b="5715"/>
            <wp:docPr id="2" name="Picture 2" descr="C:\Users\jelane\Dropbox\MRP\Clusters - CTM (ABM, SDM, VM)\Drafts in preparation\Terror Management Model\Figures\Figure_1_SD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ane\Dropbox\MRP\Clusters - CTM (ABM, SDM, VM)\Drafts in preparation\Terror Management Model\Figures\Figure_1_SDM.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1729"/>
                    </a:xfrm>
                    <a:prstGeom prst="rect">
                      <a:avLst/>
                    </a:prstGeom>
                    <a:noFill/>
                    <a:ln>
                      <a:noFill/>
                    </a:ln>
                  </pic:spPr>
                </pic:pic>
              </a:graphicData>
            </a:graphic>
          </wp:inline>
        </w:drawing>
      </w:r>
    </w:p>
    <w:p w:rsidR="00044B69" w:rsidRDefault="00044B69" w:rsidP="00044B69">
      <w:pPr>
        <w:pStyle w:val="Caption"/>
      </w:pPr>
      <w:r>
        <w:t xml:space="preserve">Figure </w:t>
      </w:r>
      <w:fldSimple w:instr=" SEQ Figure \* ARABIC ">
        <w:r>
          <w:rPr>
            <w:noProof/>
          </w:rPr>
          <w:t>1</w:t>
        </w:r>
      </w:fldSimple>
      <w:r>
        <w:t xml:space="preserve"> Terror Management SDM Stock and Flow Diagram</w:t>
      </w:r>
    </w:p>
    <w:p w:rsidR="00044B69" w:rsidRPr="00044B69" w:rsidRDefault="00044B69" w:rsidP="00044B69"/>
    <w:p w:rsidR="00A22E8A" w:rsidRDefault="00A22E8A" w:rsidP="00A22E8A">
      <w:pPr>
        <w:pStyle w:val="Heading1"/>
      </w:pPr>
      <w:r>
        <w:t>Details</w:t>
      </w:r>
    </w:p>
    <w:p w:rsidR="00A22E8A" w:rsidRPr="00F231B1" w:rsidRDefault="00A22E8A" w:rsidP="00A22E8A"/>
    <w:p w:rsidR="00A22E8A" w:rsidRDefault="00A22E8A" w:rsidP="00A22E8A">
      <w:pPr>
        <w:pStyle w:val="Heading2"/>
      </w:pPr>
      <w:r>
        <w:lastRenderedPageBreak/>
        <w:t>Initialization</w:t>
      </w:r>
    </w:p>
    <w:p w:rsidR="00A22E8A" w:rsidRDefault="00A22E8A" w:rsidP="00A22E8A">
      <w:r>
        <w:t xml:space="preserve">The model is initialized </w:t>
      </w:r>
      <w:r w:rsidR="00FC238E">
        <w:t xml:space="preserve">given the parameters outlined above. </w:t>
      </w:r>
      <w:r>
        <w:t xml:space="preserve">General variable settings such as parameter distributions for use at initialization were chosen using consultation with subject-matter experts. </w:t>
      </w:r>
    </w:p>
    <w:p w:rsidR="00A22E8A" w:rsidRDefault="00A22E8A" w:rsidP="00A22E8A">
      <w:pPr>
        <w:pStyle w:val="Heading2"/>
      </w:pPr>
      <w:r>
        <w:t xml:space="preserve">Input </w:t>
      </w:r>
    </w:p>
    <w:p w:rsidR="00A22E8A" w:rsidRDefault="00A22E8A" w:rsidP="00A22E8A">
      <w:r>
        <w:t>During a simulation run, no input data is necessary.</w:t>
      </w:r>
    </w:p>
    <w:p w:rsidR="00A22E8A" w:rsidRDefault="00A22E8A" w:rsidP="00A22E8A">
      <w:r>
        <w:t xml:space="preserve">During an experimental run, no input data is necessary. </w:t>
      </w:r>
      <w:r w:rsidR="00FC238E">
        <w:t xml:space="preserve">However, in order to match data for conditions of steady states, such as that described by Shults et al. </w:t>
      </w:r>
      <w:r w:rsidR="00FC238E">
        <w:fldChar w:fldCharType="begin" w:fldLock="1"/>
      </w:r>
      <w:r w:rsidR="00FC238E">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"label" : "figure", "suppress-author" : 1, "uris" : [ "http://www.mendeley.com/documents/?uuid=397587fd-0969-4900-bf99-3dcec2e79de5" ] } ], "mendeley" : { "formattedCitation" : "(n.d.)", "manualFormatting" : "(Submitted)", "plainTextFormattedCitation" : "(n.d.)", "previouslyFormattedCitation" : "(n.d.)" }, "properties" : { "noteIndex" : 0 }, "schema" : "https://github.com/citation-style-language/schema/raw/master/csl-citation.json" }</w:instrText>
      </w:r>
      <w:r w:rsidR="00FC238E">
        <w:fldChar w:fldCharType="separate"/>
      </w:r>
      <w:r w:rsidR="00FC238E">
        <w:rPr>
          <w:noProof/>
        </w:rPr>
        <w:t>(Submitted</w:t>
      </w:r>
      <w:r w:rsidR="00FC238E" w:rsidRPr="00FC238E">
        <w:rPr>
          <w:noProof/>
        </w:rPr>
        <w:t>)</w:t>
      </w:r>
      <w:r w:rsidR="00FC238E">
        <w:fldChar w:fldCharType="end"/>
      </w:r>
      <w:r w:rsidR="00FC238E">
        <w:t xml:space="preserve"> data may be created and imported by a user as a .csv file. Otherwise all necessary data is included in the model as hosted in the java applet submitted to the electronic appendix. </w:t>
      </w:r>
    </w:p>
    <w:p w:rsidR="00A22E8A" w:rsidRDefault="00A22E8A" w:rsidP="00A22E8A">
      <w:pPr>
        <w:pStyle w:val="Heading2"/>
      </w:pPr>
      <w:r>
        <w:t>Sub-models and processes</w:t>
      </w:r>
    </w:p>
    <w:p w:rsidR="00A22E8A" w:rsidRDefault="00A22E8A" w:rsidP="00A22E8A">
      <w:r>
        <w:t>There are no sub-models embedded within the model described here.</w:t>
      </w:r>
    </w:p>
    <w:p w:rsidR="00A22E8A" w:rsidRDefault="00A22E8A" w:rsidP="00A22E8A">
      <w:pPr>
        <w:pStyle w:val="Heading1"/>
      </w:pPr>
      <w:r>
        <w:t>Experiments</w:t>
      </w:r>
    </w:p>
    <w:p w:rsidR="00A22E8A" w:rsidRDefault="00A22E8A" w:rsidP="00A22E8A">
      <w:r>
        <w:t xml:space="preserve">Experiments are documented in Shults et al. </w:t>
      </w:r>
      <w:r>
        <w:fldChar w:fldCharType="begin" w:fldLock="1"/>
      </w:r>
      <w:r>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"uris" : [ "http://www.mendeley.com/documents/?uuid=397587fd-0969-4900-bf99-3dcec2e79de5" ] } ], "mendeley" : { "formattedCitation" : "(Shults et al., n.d.)", "manualFormatting" : "(Shults et al., Submitted)", "plainTextFormattedCitation" : "(Shults et al., n.d.)", "previouslyFormattedCitation" : "(Shults et al., n.d.)" }, "properties" : { "noteIndex" : 0 }, "schema" : "https://github.com/citation-style-language/schema/raw/master/csl-citation.json" }</w:instrText>
      </w:r>
      <w:r>
        <w:fldChar w:fldCharType="separate"/>
      </w:r>
      <w:r>
        <w:rPr>
          <w:noProof/>
        </w:rPr>
        <w:t>(Shults et al., Submitted</w:t>
      </w:r>
      <w:r w:rsidRPr="00977E9C">
        <w:rPr>
          <w:noProof/>
        </w:rPr>
        <w:t>)</w:t>
      </w:r>
      <w:r>
        <w:fldChar w:fldCharType="end"/>
      </w:r>
      <w:r>
        <w:t xml:space="preserve">. They were run using the same software as the model was developed in </w:t>
      </w:r>
      <w:r>
        <w:fldChar w:fldCharType="begin" w:fldLock="1"/>
      </w:r>
      <w:r>
        <w:instrText>ADDIN CSL_CITATION { "citationItems" : [ { "id" : "ITEM-1", "itemData" : { "author" : [ { "dropping-particle" : "", "family" : "The AnyLogic Company", "given" : "", "non-dropping-particle" : "", "parse-names" : false, "suffix" : "" } ], "id" : "ITEM-1", "issued" : { "date-parts" : [ [ "2015" ] ] }, "number" : "7.2", "publisher" : "The AnyLogic Company", "publisher-place" : "St. Petersburg, Russia", "title" : "AnyLogic Professional 7.2", "type" : "article" }, "uris" : [ "http://www.mendeley.com/documents/?uuid=cf388cdf-f107-426d-b786-efd12d6c4e2b" ] } ], "mendeley" : { "formattedCitation" : "(The AnyLogic Company, 2015)", "plainTextFormattedCitation" : "(The AnyLogic Company, 2015)", "previouslyFormattedCitation" : "(The AnyLogic Company, 2015)" }, "properties" : { "noteIndex" : 0 }, "schema" : "https://github.com/citation-style-language/schema/raw/master/csl-citation.json" }</w:instrText>
      </w:r>
      <w:r>
        <w:fldChar w:fldCharType="separate"/>
      </w:r>
      <w:r w:rsidRPr="00977E9C">
        <w:rPr>
          <w:noProof/>
        </w:rPr>
        <w:t>(The AnyLogic Company, 2015)</w:t>
      </w:r>
      <w:r>
        <w:fldChar w:fldCharType="end"/>
      </w:r>
      <w:r>
        <w:t xml:space="preserve">. By setting the memory settings in Main in the development environment, one should be able to run the simulation on any modern desktop or laptop. However, greater memory requirements may be necessary for running larger simulations such as the Monte Carlo Experiment described Shults et al. </w:t>
      </w:r>
      <w:r>
        <w:fldChar w:fldCharType="begin" w:fldLock="1"/>
      </w:r>
      <w:r>
        <w:instrText>ADDIN CSL_CITATION { "citationItems" : [ { "id" : "ITEM-1", "itemData" : { "author" : [ { "dropping-particle" : "", "family" : "Shults", "given" : "F. LeRon", "non-dropping-particle" : "", "parse-names" : false, "suffix" : "" }, { "dropping-particle" : "", "family" : "Lane", "given" : "Justin E.", "non-dropping-particle" : "", "parse-names" : false, "suffix" : "" }, { "dropping-particle" : "", "family" : "Lynch", "given" : "Christopher", "non-dropping-particle" : "", "parse-names" : false, "suffix" : "" }, { "dropping-particle" : "", "family" : "Padilla", "given" : "Jose", "non-dropping-particle" : "", "parse-names" : false, "suffix" : "" }, { "dropping-particle" : "", "family" : "Mancha", "given" : "Ruben", "non-dropping-particle" : "", "parse-names" : false, "suffix" : "" }, { "dropping-particle" : "", "family" : "Diallo", "given" : "Saikou", "non-dropping-particle" : "", "parse-names" : false, "suffix" : "" }, { "dropping-particle" : "", "family" : "Wildman", "given" : "Wesley J.", "non-dropping-particle" : "", "parse-names" : false, "suffix" : "" } ], "container-title" : "Religion, Brain &amp; Behavior", "id" : "ITEM-1", "issued" : { "date-parts" : [ [ "0" ] ] }, "title" : "Modeling Terror Management Theory: A computer simulation of hte impact of mortality salience on religiosity", "type" : "article-journal" }, "uris" : [ "http://www.mendeley.com/documents/?uuid=397587fd-0969-4900-bf99-3dcec2e79de5" ] } ], "mendeley" : { "formattedCitation" : "(Shults et al., n.d.)", "manualFormatting" : "(Shults et al., Submitted)", "plainTextFormattedCitation" : "(Shults et al., n.d.)", "previouslyFormattedCitation" : "(Shults et al., n.d.)" }, "properties" : { "noteIndex" : 0 }, "schema" : "https://github.com/citation-style-language/schema/raw/master/csl-citation.json" }</w:instrText>
      </w:r>
      <w:r>
        <w:fldChar w:fldCharType="separate"/>
      </w:r>
      <w:r w:rsidRPr="00977E9C">
        <w:rPr>
          <w:noProof/>
        </w:rPr>
        <w:t>(Shu</w:t>
      </w:r>
      <w:r>
        <w:rPr>
          <w:noProof/>
        </w:rPr>
        <w:t>lts et al., Submitted</w:t>
      </w:r>
      <w:r w:rsidRPr="00977E9C">
        <w:rPr>
          <w:noProof/>
        </w:rPr>
        <w:t>)</w:t>
      </w:r>
      <w:r>
        <w:fldChar w:fldCharType="end"/>
      </w:r>
      <w:r>
        <w:t>. Results are included in the folder ~/</w:t>
      </w:r>
      <w:proofErr w:type="spellStart"/>
      <w:r>
        <w:t>data_files</w:t>
      </w:r>
      <w:proofErr w:type="spellEnd"/>
      <w:r>
        <w:t xml:space="preserve">. </w:t>
      </w:r>
    </w:p>
    <w:p w:rsidR="00A22E8A" w:rsidRDefault="00A22E8A" w:rsidP="00A22E8A">
      <w:pPr>
        <w:pStyle w:val="Heading1"/>
      </w:pPr>
      <w:r>
        <w:t>References</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8753A5">
        <w:rPr>
          <w:rFonts w:ascii="Calibri" w:hAnsi="Calibri" w:cs="Times New Roman"/>
          <w:noProof/>
          <w:szCs w:val="24"/>
        </w:rPr>
        <w:t xml:space="preserve">Grimm, V., Berger, U., Bastiansen, F., Eliassen, S., Ginot, V., Giske, J., … DeAngelis, D. L. (2006). A standard protocol for describing individual-based and agent-based models. </w:t>
      </w:r>
      <w:r w:rsidRPr="008753A5">
        <w:rPr>
          <w:rFonts w:ascii="Calibri" w:hAnsi="Calibri" w:cs="Times New Roman"/>
          <w:i/>
          <w:iCs/>
          <w:noProof/>
          <w:szCs w:val="24"/>
        </w:rPr>
        <w:t>Ecological Modelling</w:t>
      </w:r>
      <w:r w:rsidRPr="008753A5">
        <w:rPr>
          <w:rFonts w:ascii="Calibri" w:hAnsi="Calibri" w:cs="Times New Roman"/>
          <w:noProof/>
          <w:szCs w:val="24"/>
        </w:rPr>
        <w:t xml:space="preserve">, </w:t>
      </w:r>
      <w:r w:rsidRPr="008753A5">
        <w:rPr>
          <w:rFonts w:ascii="Calibri" w:hAnsi="Calibri" w:cs="Times New Roman"/>
          <w:i/>
          <w:iCs/>
          <w:noProof/>
          <w:szCs w:val="24"/>
        </w:rPr>
        <w:t>198</w:t>
      </w:r>
      <w:r w:rsidRPr="008753A5">
        <w:rPr>
          <w:rFonts w:ascii="Calibri" w:hAnsi="Calibri" w:cs="Times New Roman"/>
          <w:noProof/>
          <w:szCs w:val="24"/>
        </w:rPr>
        <w:t>(1-2), 115–126. doi:10.1016/j.ecolmodel.2006.04.023</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Grimm, V., &amp; Railsback, S. F. (2005). </w:t>
      </w:r>
      <w:r w:rsidRPr="008753A5">
        <w:rPr>
          <w:rFonts w:ascii="Calibri" w:hAnsi="Calibri" w:cs="Times New Roman"/>
          <w:i/>
          <w:iCs/>
          <w:noProof/>
          <w:szCs w:val="24"/>
        </w:rPr>
        <w:t>Individual-based Modeling and Ecology</w:t>
      </w:r>
      <w:r w:rsidRPr="008753A5">
        <w:rPr>
          <w:rFonts w:ascii="Calibri" w:hAnsi="Calibri" w:cs="Times New Roman"/>
          <w:noProof/>
          <w:szCs w:val="24"/>
        </w:rPr>
        <w:t>. Princeton: Princeton University Press.</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Hinds, A. L., Woody, E. Z., Drandic, A., Schmidt, L. a, Van Ameringen, M., Coroneos, M., &amp; Szechtman, H. (2010). The psychology of potential threat: properties of the security motivation system. </w:t>
      </w:r>
      <w:r w:rsidRPr="008753A5">
        <w:rPr>
          <w:rFonts w:ascii="Calibri" w:hAnsi="Calibri" w:cs="Times New Roman"/>
          <w:i/>
          <w:iCs/>
          <w:noProof/>
          <w:szCs w:val="24"/>
        </w:rPr>
        <w:t>Biological Psychology</w:t>
      </w:r>
      <w:r w:rsidRPr="008753A5">
        <w:rPr>
          <w:rFonts w:ascii="Calibri" w:hAnsi="Calibri" w:cs="Times New Roman"/>
          <w:noProof/>
          <w:szCs w:val="24"/>
        </w:rPr>
        <w:t xml:space="preserve">, </w:t>
      </w:r>
      <w:r w:rsidRPr="008753A5">
        <w:rPr>
          <w:rFonts w:ascii="Calibri" w:hAnsi="Calibri" w:cs="Times New Roman"/>
          <w:i/>
          <w:iCs/>
          <w:noProof/>
          <w:szCs w:val="24"/>
        </w:rPr>
        <w:t>85</w:t>
      </w:r>
      <w:r w:rsidRPr="008753A5">
        <w:rPr>
          <w:rFonts w:ascii="Calibri" w:hAnsi="Calibri" w:cs="Times New Roman"/>
          <w:noProof/>
          <w:szCs w:val="24"/>
        </w:rPr>
        <w:t>(2), 331–7. doi:10.1016/j.biopsycho.2010.08.003</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Liénard, P., &amp; Boyer, P. (2006). Whence Collective Rituals? A Cultural Selection Model of Ritualized Behavior. </w:t>
      </w:r>
      <w:r w:rsidRPr="008753A5">
        <w:rPr>
          <w:rFonts w:ascii="Calibri" w:hAnsi="Calibri" w:cs="Times New Roman"/>
          <w:i/>
          <w:iCs/>
          <w:noProof/>
          <w:szCs w:val="24"/>
        </w:rPr>
        <w:t>American Anthropologist</w:t>
      </w:r>
      <w:r w:rsidRPr="008753A5">
        <w:rPr>
          <w:rFonts w:ascii="Calibri" w:hAnsi="Calibri" w:cs="Times New Roman"/>
          <w:noProof/>
          <w:szCs w:val="24"/>
        </w:rPr>
        <w:t xml:space="preserve">, </w:t>
      </w:r>
      <w:r w:rsidRPr="008753A5">
        <w:rPr>
          <w:rFonts w:ascii="Calibri" w:hAnsi="Calibri" w:cs="Times New Roman"/>
          <w:i/>
          <w:iCs/>
          <w:noProof/>
          <w:szCs w:val="24"/>
        </w:rPr>
        <w:t>108</w:t>
      </w:r>
      <w:r w:rsidRPr="008753A5">
        <w:rPr>
          <w:rFonts w:ascii="Calibri" w:hAnsi="Calibri" w:cs="Times New Roman"/>
          <w:noProof/>
          <w:szCs w:val="24"/>
        </w:rPr>
        <w:t>(4), 814–827. Retrieved from http://artsci.wustl.edu/~pboyer/PBoyerHomeSite/articles/LienardBoyerAA.pdf</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Liénard, P., &amp; Lawson, E. T. (2008). Evoked culture, ritualization and religious rituals. </w:t>
      </w:r>
      <w:r w:rsidRPr="008753A5">
        <w:rPr>
          <w:rFonts w:ascii="Calibri" w:hAnsi="Calibri" w:cs="Times New Roman"/>
          <w:i/>
          <w:iCs/>
          <w:noProof/>
          <w:szCs w:val="24"/>
        </w:rPr>
        <w:t>Religion</w:t>
      </w:r>
      <w:r w:rsidRPr="008753A5">
        <w:rPr>
          <w:rFonts w:ascii="Calibri" w:hAnsi="Calibri" w:cs="Times New Roman"/>
          <w:noProof/>
          <w:szCs w:val="24"/>
        </w:rPr>
        <w:t xml:space="preserve">, </w:t>
      </w:r>
      <w:r w:rsidRPr="008753A5">
        <w:rPr>
          <w:rFonts w:ascii="Calibri" w:hAnsi="Calibri" w:cs="Times New Roman"/>
          <w:i/>
          <w:iCs/>
          <w:noProof/>
          <w:szCs w:val="24"/>
        </w:rPr>
        <w:t>38</w:t>
      </w:r>
      <w:r w:rsidRPr="008753A5">
        <w:rPr>
          <w:rFonts w:ascii="Calibri" w:hAnsi="Calibri" w:cs="Times New Roman"/>
          <w:noProof/>
          <w:szCs w:val="24"/>
        </w:rPr>
        <w:t>(March), 157–171. doi:10.1016/j.religion.2008.01.004</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Railsback, S. F., &amp; Grimm, V. (2011). </w:t>
      </w:r>
      <w:r w:rsidRPr="008753A5">
        <w:rPr>
          <w:rFonts w:ascii="Calibri" w:hAnsi="Calibri" w:cs="Times New Roman"/>
          <w:i/>
          <w:iCs/>
          <w:noProof/>
          <w:szCs w:val="24"/>
        </w:rPr>
        <w:t xml:space="preserve">Agent-based and Individual-based Modeling: A Practical </w:t>
      </w:r>
      <w:r w:rsidRPr="008753A5">
        <w:rPr>
          <w:rFonts w:ascii="Calibri" w:hAnsi="Calibri" w:cs="Times New Roman"/>
          <w:i/>
          <w:iCs/>
          <w:noProof/>
          <w:szCs w:val="24"/>
        </w:rPr>
        <w:lastRenderedPageBreak/>
        <w:t>Introduction</w:t>
      </w:r>
      <w:r w:rsidRPr="008753A5">
        <w:rPr>
          <w:rFonts w:ascii="Calibri" w:hAnsi="Calibri" w:cs="Times New Roman"/>
          <w:noProof/>
          <w:szCs w:val="24"/>
        </w:rPr>
        <w:t>. Princeton: Princeton University Press.</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Shults, F. L., Lane, J. E., Lynch, C., Padilla, J., Mancha, R., Diallo, S., &amp; Wildman, W. J. (n.d.). Modeling Terror Management Theory: A computer simulation of hte impact of mortality salience on religiosity. </w:t>
      </w:r>
      <w:r w:rsidRPr="008753A5">
        <w:rPr>
          <w:rFonts w:ascii="Calibri" w:hAnsi="Calibri" w:cs="Times New Roman"/>
          <w:i/>
          <w:iCs/>
          <w:noProof/>
          <w:szCs w:val="24"/>
        </w:rPr>
        <w:t>Religion, Brain &amp; Behavior</w:t>
      </w:r>
      <w:r w:rsidRPr="008753A5">
        <w:rPr>
          <w:rFonts w:ascii="Calibri" w:hAnsi="Calibri" w:cs="Times New Roman"/>
          <w:noProof/>
          <w:szCs w:val="24"/>
        </w:rPr>
        <w:t>.</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The AnyLogic Company. (2015). AnyLogic Professional 7.2. St. Petersburg, Russia: The AnyLogic Company. Retrieved from http://www.anylogic.com/</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Whitehouse, H. (2002). Conjectures, Refutations, and Verification: towards a testable theory of ’modes of religiosity. </w:t>
      </w:r>
      <w:r w:rsidRPr="008753A5">
        <w:rPr>
          <w:rFonts w:ascii="Calibri" w:hAnsi="Calibri" w:cs="Times New Roman"/>
          <w:i/>
          <w:iCs/>
          <w:noProof/>
          <w:szCs w:val="24"/>
        </w:rPr>
        <w:t>Journal of Ritual Studies</w:t>
      </w:r>
      <w:r w:rsidRPr="008753A5">
        <w:rPr>
          <w:rFonts w:ascii="Calibri" w:hAnsi="Calibri" w:cs="Times New Roman"/>
          <w:noProof/>
          <w:szCs w:val="24"/>
        </w:rPr>
        <w:t xml:space="preserve">, </w:t>
      </w:r>
      <w:r w:rsidRPr="008753A5">
        <w:rPr>
          <w:rFonts w:ascii="Calibri" w:hAnsi="Calibri" w:cs="Times New Roman"/>
          <w:i/>
          <w:iCs/>
          <w:noProof/>
          <w:szCs w:val="24"/>
        </w:rPr>
        <w:t>16</w:t>
      </w:r>
      <w:r w:rsidRPr="008753A5">
        <w:rPr>
          <w:rFonts w:ascii="Calibri" w:hAnsi="Calibri" w:cs="Times New Roman"/>
          <w:noProof/>
          <w:szCs w:val="24"/>
        </w:rPr>
        <w:t>(2), 44–59.</w:t>
      </w:r>
    </w:p>
    <w:p w:rsidR="008753A5" w:rsidRPr="008753A5" w:rsidRDefault="008753A5" w:rsidP="008753A5">
      <w:pPr>
        <w:widowControl w:val="0"/>
        <w:autoSpaceDE w:val="0"/>
        <w:autoSpaceDN w:val="0"/>
        <w:adjustRightInd w:val="0"/>
        <w:spacing w:line="240" w:lineRule="auto"/>
        <w:ind w:left="480" w:hanging="480"/>
        <w:rPr>
          <w:rFonts w:ascii="Calibri" w:hAnsi="Calibri" w:cs="Times New Roman"/>
          <w:noProof/>
          <w:szCs w:val="24"/>
        </w:rPr>
      </w:pPr>
      <w:r w:rsidRPr="008753A5">
        <w:rPr>
          <w:rFonts w:ascii="Calibri" w:hAnsi="Calibri" w:cs="Times New Roman"/>
          <w:noProof/>
          <w:szCs w:val="24"/>
        </w:rPr>
        <w:t xml:space="preserve">Whitehouse, H. (2004). </w:t>
      </w:r>
      <w:r w:rsidRPr="008753A5">
        <w:rPr>
          <w:rFonts w:ascii="Calibri" w:hAnsi="Calibri" w:cs="Times New Roman"/>
          <w:i/>
          <w:iCs/>
          <w:noProof/>
          <w:szCs w:val="24"/>
        </w:rPr>
        <w:t>Modes of Religiosity: A Cognitive Theory of Religious Transmission</w:t>
      </w:r>
      <w:r w:rsidRPr="008753A5">
        <w:rPr>
          <w:rFonts w:ascii="Calibri" w:hAnsi="Calibri" w:cs="Times New Roman"/>
          <w:noProof/>
          <w:szCs w:val="24"/>
        </w:rPr>
        <w:t>. Walnut Creek, CA: AltaMira Press.</w:t>
      </w:r>
    </w:p>
    <w:p w:rsidR="008753A5" w:rsidRPr="008753A5" w:rsidRDefault="008753A5" w:rsidP="008753A5">
      <w:pPr>
        <w:widowControl w:val="0"/>
        <w:autoSpaceDE w:val="0"/>
        <w:autoSpaceDN w:val="0"/>
        <w:adjustRightInd w:val="0"/>
        <w:spacing w:line="240" w:lineRule="auto"/>
        <w:ind w:left="480" w:hanging="480"/>
        <w:rPr>
          <w:rFonts w:ascii="Calibri" w:hAnsi="Calibri"/>
          <w:noProof/>
        </w:rPr>
      </w:pPr>
      <w:r w:rsidRPr="008753A5">
        <w:rPr>
          <w:rFonts w:ascii="Calibri" w:hAnsi="Calibri" w:cs="Times New Roman"/>
          <w:noProof/>
          <w:szCs w:val="24"/>
        </w:rPr>
        <w:t xml:space="preserve">Woody, E. Z., &amp; Szechtman, H. (2011). Adaptation to potential threat: The evolution, neurobiology, and psychopathology of the security motivation system. </w:t>
      </w:r>
      <w:r w:rsidRPr="008753A5">
        <w:rPr>
          <w:rFonts w:ascii="Calibri" w:hAnsi="Calibri" w:cs="Times New Roman"/>
          <w:i/>
          <w:iCs/>
          <w:noProof/>
          <w:szCs w:val="24"/>
        </w:rPr>
        <w:t>Neuroscience and Biobehavioral Reviews</w:t>
      </w:r>
      <w:r w:rsidRPr="008753A5">
        <w:rPr>
          <w:rFonts w:ascii="Calibri" w:hAnsi="Calibri" w:cs="Times New Roman"/>
          <w:noProof/>
          <w:szCs w:val="24"/>
        </w:rPr>
        <w:t xml:space="preserve">, </w:t>
      </w:r>
      <w:r w:rsidRPr="008753A5">
        <w:rPr>
          <w:rFonts w:ascii="Calibri" w:hAnsi="Calibri" w:cs="Times New Roman"/>
          <w:i/>
          <w:iCs/>
          <w:noProof/>
          <w:szCs w:val="24"/>
        </w:rPr>
        <w:t>35</w:t>
      </w:r>
      <w:r w:rsidRPr="008753A5">
        <w:rPr>
          <w:rFonts w:ascii="Calibri" w:hAnsi="Calibri" w:cs="Times New Roman"/>
          <w:noProof/>
          <w:szCs w:val="24"/>
        </w:rPr>
        <w:t>(4), 1019–1033. doi:10.1016/j.neubiorev.2010.08.003</w:t>
      </w:r>
    </w:p>
    <w:p w:rsidR="00F313BC" w:rsidRDefault="008753A5">
      <w:r>
        <w:fldChar w:fldCharType="end"/>
      </w:r>
      <w:bookmarkStart w:id="0" w:name="_GoBack"/>
      <w:bookmarkEnd w:id="0"/>
    </w:p>
    <w:sectPr w:rsidR="00F31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993" w:rsidRDefault="00E63993" w:rsidP="00A22E8A">
      <w:pPr>
        <w:spacing w:after="0" w:line="240" w:lineRule="auto"/>
      </w:pPr>
      <w:r>
        <w:separator/>
      </w:r>
    </w:p>
  </w:endnote>
  <w:endnote w:type="continuationSeparator" w:id="0">
    <w:p w:rsidR="00E63993" w:rsidRDefault="00E63993" w:rsidP="00A2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993" w:rsidRDefault="00E63993" w:rsidP="00A22E8A">
      <w:pPr>
        <w:spacing w:after="0" w:line="240" w:lineRule="auto"/>
      </w:pPr>
      <w:r>
        <w:separator/>
      </w:r>
    </w:p>
  </w:footnote>
  <w:footnote w:type="continuationSeparator" w:id="0">
    <w:p w:rsidR="00E63993" w:rsidRDefault="00E63993" w:rsidP="00A22E8A">
      <w:pPr>
        <w:spacing w:after="0" w:line="240" w:lineRule="auto"/>
      </w:pPr>
      <w:r>
        <w:continuationSeparator/>
      </w:r>
    </w:p>
  </w:footnote>
  <w:footnote w:id="1">
    <w:p w:rsidR="00A22E8A" w:rsidRDefault="00A22E8A" w:rsidP="00A22E8A">
      <w:pPr>
        <w:pStyle w:val="FootnoteText"/>
      </w:pPr>
      <w:r>
        <w:rPr>
          <w:rStyle w:val="FootnoteReference"/>
        </w:rPr>
        <w:footnoteRef/>
      </w:r>
      <w:r>
        <w:t xml:space="preserve"> </w:t>
      </w:r>
      <w:r>
        <w:t xml:space="preserve">This documentation is based roughly on the ODD format for documenting agent based models. </w:t>
      </w:r>
      <w:r>
        <w:t xml:space="preserve">For a description of the </w:t>
      </w:r>
      <w:r>
        <w:t>ODD</w:t>
      </w:r>
      <w:r>
        <w:t xml:space="preserve"> and any definitions, see </w:t>
      </w:r>
      <w:r>
        <w:fldChar w:fldCharType="begin" w:fldLock="1"/>
      </w:r>
      <w:r>
        <w:instrText>ADDIN CSL_CITATION { "citationItems" : [ { "id" : "ITEM-1", "itemData" : { "ISBN" : "9780691096667", "author" : [ { "dropping-particle" : "", "family" : "Grimm", "given" : "Volker", "non-dropping-particle" : "", "parse-names" : false, "suffix" : "" }, { "dropping-particle" : "", "family" : "Railsback", "given" : "Steven F.", "non-dropping-particle" : "", "parse-names" : false, "suffix" : "" } ], "id" : "ITEM-1", "issued" : { "date-parts" : [ [ "2005" ] ] }, "number-of-pages" : "448", "publisher" : "Princeton University Press", "publisher-place" : "Princeton", "title" : "Individual-based Modeling and Ecology", "type" : "book" }, "uris" : [ "http://www.mendeley.com/documents/?uuid=81894b2c-d917-471f-a70c-421e98739e96" ] }, { "id" : "ITEM-2",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Submodels.We explain which aspects of amodel should be described in each element, and we present an example to illustrate the protocol in use. In addition, 19 examples are available in an Online Appendix.We consider ODD as a first step for establishing amore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"ITEM-2", "issue" : "1-2", "issued" : { "date-parts" : [ [ "2006" ] ] }, "page" : "115-126", "title" : "A standard protocol for describing individual-based and agent-based models", "type" : "article-journal", "volume" : "198" }, "uris" : [ "http://www.mendeley.com/documents/?uuid=c197daf1-9988-4dff-9544-7127f70c82fa" ] }, { "id" : "ITEM-3", "itemData" : { "ISBN" : "9780691136745", "author" : [ { "dropping-particle" : "", "family" : "Railsback", "given" : "Steven F.", "non-dropping-particle" : "", "parse-names" : false, "suffix" : "" }, { "dropping-particle" : "", "family" : "Grimm", "given" : "Volker", "non-dropping-particle" : "", "parse-names" : false, "suffix" : "" } ], "id" : "ITEM-3", "issued" : { "date-parts" : [ [ "2011" ] ] }, "publisher" : "Princeton University Press", "publisher-place" : "Princeton", "title" : "Agent-based and Individual-based Modeling: A Practical Introduction", "type" : "book" }, "uris" : [ "http://www.mendeley.com/documents/?uuid=3454df07-45d7-47a4-8001-df866d125bde" ] } ], "mendeley" : { "formattedCitation" : "(Grimm &amp; Railsback, 2005; Grimm et al., 2006; Railsback &amp; Grimm, 2011)", "plainTextFormattedCitation" : "(Grimm &amp; Railsback, 2005; Grimm et al., 2006; Railsback &amp; Grimm, 2011)", "previouslyFormattedCitation" : "(Grimm &amp; Railsback, 2005; Grimm et al., 2006; Railsback &amp; Grimm, 2011)" }, "properties" : { "noteIndex" : 0 }, "schema" : "https://github.com/citation-style-language/schema/raw/master/csl-citation.json" }</w:instrText>
      </w:r>
      <w:r>
        <w:fldChar w:fldCharType="separate"/>
      </w:r>
      <w:r w:rsidRPr="00140945">
        <w:rPr>
          <w:noProof/>
        </w:rPr>
        <w:t>(Grimm &amp; Railsback, 2005; Grimm et al., 2006; Railsback &amp; Grimm, 2011)</w:t>
      </w:r>
      <w:r>
        <w:fldChar w:fldCharType="end"/>
      </w:r>
    </w:p>
  </w:footnote>
  <w:footnote w:id="2">
    <w:p w:rsidR="0051002D" w:rsidRDefault="0051002D">
      <w:pPr>
        <w:pStyle w:val="FootnoteText"/>
      </w:pPr>
      <w:r>
        <w:rPr>
          <w:rStyle w:val="FootnoteReference"/>
        </w:rPr>
        <w:footnoteRef/>
      </w:r>
      <w:r>
        <w:t xml:space="preserve"> This is similar to the concept of “</w:t>
      </w:r>
      <w:proofErr w:type="spellStart"/>
      <w:r>
        <w:t>yedasentience</w:t>
      </w:r>
      <w:proofErr w:type="spellEnd"/>
      <w:r>
        <w:t xml:space="preserve">” </w:t>
      </w:r>
      <w:r>
        <w:fldChar w:fldCharType="begin" w:fldLock="1"/>
      </w:r>
      <w:r>
        <w:instrText>ADDIN CSL_CITATION { "citationItems" : [ { "id" : "ITEM-1", "itemData" : { "DOI" : "10.1016/j.neubiorev.2010.08.003", "ISBN" : "1873-7528", "ISSN" : "01497634", "PMID" : "20727910", "abstract" : "The risk of improbable, uncertain, but grave potential dangers poses unique adaptive challenges. We argue that to manage such risks, a special motivational system evolved, which we term the security motivation system. Review of work across a range of species indicates that this system is designed to detect subtle indicators of potential threat, to probe the environment for further information about these possible dangers, and to motivate engagement in precautionary behaviors, which also serves to terminate security motivation. We advance a neurobiological-circuit model of the security motivation system, which consists of a cascade of cortico-striato-pallido-thalamo-cortical loops with brainstem-mediated negative feedback. We also detail the broader physiological network involved, including regulation of the parasympathetic nervous system, with emphasis on vagal regulation of cardiac output, and activation of the hypothalamic-pituitary-adrenocortical axis. Finally, we propose that some kinds of psychopathology stem from dysfunction of the security motivation system. In particular, obsessive compulsive disorder may result from the failure of a mechanism by which engagement in precautionary behavior normally terminates activation of the system. ?? 2010 Elsevier Ltd.", "author" : [ { "dropping-particle" : "", "family" : "Woody", "given" : "Erik Z.", "non-dropping-particle" : "", "parse-names" : false, "suffix" : "" }, { "dropping-particle" : "", "family" : "Szechtman", "given" : "Henry", "non-dropping-particle" : "", "parse-names" : false, "suffix" : "" } ], "container-title" : "Neuroscience and Biobehavioral Reviews", "id" : "ITEM-1", "issue" : "4", "issued" : { "date-parts" : [ [ "2011" ] ] }, "page" : "1019-1033", "publisher" : "Elsevier Ltd", "title" : "Adaptation to potential threat: The evolution, neurobiology, and psychopathology of the security motivation system", "type" : "article-journal", "volume" : "35" }, "uris" : [ "http://www.mendeley.com/documents/?uuid=d7761b9d-6d8d-4ef7-b2dc-175ea457db39" ] }, { "id" : "ITEM-2", "itemData" : { "DOI" : "10.1016/j.biopsycho.2010.08.003", "ISBN" : "1873-6246 (Electronic)\\r0301-0511 (Linking)", "ISSN" : "1873-6246", "PMID" : "20723575", "abstract" : "Results of three experiments support hypothesized properties of the security motivation system, a special motivational system for handling potential threats, as proposed by Szechtman and Woody (2004). First, mild stimuli suggesting potential harm produced a marked state of activation (evident in both objective and subjective measures), consistent with the hypothesis that the security motivation system is finely tuned for the detection of potential threat. Second, in the absence of corrective behavior, this evoked activation is persistent, supporting the hypothesis that once stimulated, the security motivation system produces an enduring motivational state involving the urge to engage in threat-reducing behavior. Third, engagement in corrective behavior was effective in returning activation levels to baseline, whereas cognitive reappraisal was not. These findings are consistent with the hypothesis that deactivation of the security motivation system depends on performance of security-related behaviors, rather than non-behavioral events such as cognitive re-evaluation of threat.", "author" : [ { "dropping-particle" : "", "family" : "Hinds", "given" : "Andrea L", "non-dropping-particle" : "", "parse-names" : false, "suffix" : "" }, { "dropping-particle" : "", "family" : "Woody", "given" : "Erik Z", "non-dropping-particle" : "", "parse-names" : false, "suffix" : "" }, { "dropping-particle" : "", "family" : "Drandic", "given" : "Ana", "non-dropping-particle" : "", "parse-names" : false, "suffix" : "" }, { "dropping-particle" : "", "family" : "Schmidt", "given" : "Louis a", "non-dropping-particle" : "", "parse-names" : false, "suffix" : "" }, { "dropping-particle" : "", "family" : "Ameringen", "given" : "Michael", "non-dropping-particle" : "Van", "parse-names" : false, "suffix" : "" }, { "dropping-particle" : "", "family" : "Coroneos", "given" : "Marie", "non-dropping-particle" : "", "parse-names" : false, "suffix" : "" }, { "dropping-particle" : "", "family" : "Szechtman", "given" : "Henry", "non-dropping-particle" : "", "parse-names" : false, "suffix" : "" } ], "container-title" : "Biological psychology", "id" : "ITEM-2", "issue" : "2", "issued" : { "date-parts" : [ [ "2010" ] ] }, "page" : "331-7", "publisher" : "Elsevier B.V.", "title" : "The psychology of potential threat: properties of the security motivation system.", "type" : "article-journal", "volume" : "85" }, "uris" : [ "http://www.mendeley.com/documents/?uuid=76fb6058-3442-4e68-826d-f74afec0163a" ] } ], "mendeley" : { "formattedCitation" : "(Hinds et al., 2010; Woody &amp; Szechtman, 2011)", "plainTextFormattedCitation" : "(Hinds et al., 2010; Woody &amp; Szechtman, 2011)", "previouslyFormattedCitation" : "(Hinds et al., 2010; Woody &amp; Szechtman, 2011)" }, "properties" : { "noteIndex" : 0 }, "schema" : "https://github.com/citation-style-language/schema/raw/master/csl-citation.json" }</w:instrText>
      </w:r>
      <w:r>
        <w:fldChar w:fldCharType="separate"/>
      </w:r>
      <w:r w:rsidRPr="0051002D">
        <w:rPr>
          <w:noProof/>
        </w:rPr>
        <w:t>(Hinds et al., 2010; Woody &amp; Szechtman, 2011)</w:t>
      </w:r>
      <w:r>
        <w:fldChar w:fldCharType="end"/>
      </w:r>
    </w:p>
  </w:footnote>
  <w:footnote w:id="3">
    <w:p w:rsidR="0051002D" w:rsidRDefault="0051002D">
      <w:pPr>
        <w:pStyle w:val="FootnoteText"/>
      </w:pPr>
      <w:r>
        <w:rPr>
          <w:rStyle w:val="FootnoteReference"/>
        </w:rPr>
        <w:footnoteRef/>
      </w:r>
      <w:r>
        <w:t xml:space="preserve"> This is similar to the documented “Tedium Effect” </w:t>
      </w:r>
      <w:r>
        <w:fldChar w:fldCharType="begin" w:fldLock="1"/>
      </w:r>
      <w:r w:rsidR="00FC238E">
        <w:instrText>ADDIN CSL_CITATION { "citationItems" : [ { "id" : "ITEM-1", "itemData" : { "ISBN" : "0759106150", "author" : [ { "dropping-particle" : "", "family" : "Whitehouse", "given" : "Harvey", "non-dropping-particle" : "", "parse-names" : false, "suffix" : "" } ], "id" : "ITEM-1", "issued" : { "date-parts" : [ [ "2004" ] ] }, "publisher" : "AltaMira Press", "publisher-place" : "Walnut Creek, CA", "title" : "Modes of Religiosity: A Cognitive Theory of Religious Transmission", "type" : "book" }, "uris" : [ "http://www.mendeley.com/documents/?uuid=a141c6c5-a914-45e6-a0d2-d1c2bde85723" ] }, { "id" : "ITEM-2", "itemData" : { "author" : [ { "dropping-particle" : "", "family" : "Whitehouse", "given" : "Harvey", "non-dropping-particle" : "", "parse-names" : false, "suffix" : "" } ], "container-title" : "Journal of Ritual Studies", "id" : "ITEM-2", "issue" : "2", "issued" : { "date-parts" : [ [ "2002" ] ] }, "page" : "44-59", "title" : "Conjectures, Refutations, and Verification: towards a testable theory of 'modes of religiosity", "type" : "article-journal", "volume" : "16" }, "label" : "figure", "prefix" : "see", "uris" : [ "http://www.mendeley.com/documents/?uuid=48ab6705-bdcd-4a95-9346-8741b25aa374" ] } ], "mendeley" : { "formattedCitation" : "(see Whitehouse, 2002, 2004)", "plainTextFormattedCitation" : "(see Whitehouse, 2002, 2004)", "previouslyFormattedCitation" : "(see Whitehouse, 2002, 2004)" }, "properties" : { "noteIndex" : 0 }, "schema" : "https://github.com/citation-style-language/schema/raw/master/csl-citation.json" }</w:instrText>
      </w:r>
      <w:r>
        <w:fldChar w:fldCharType="separate"/>
      </w:r>
      <w:r w:rsidRPr="0051002D">
        <w:rPr>
          <w:noProof/>
        </w:rPr>
        <w:t>(see Whitehouse, 2002, 2004)</w:t>
      </w:r>
      <w:r>
        <w:fldChar w:fldCharType="end"/>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F5"/>
    <w:rsid w:val="00044B69"/>
    <w:rsid w:val="00097EF5"/>
    <w:rsid w:val="003410A8"/>
    <w:rsid w:val="004A10E0"/>
    <w:rsid w:val="0051002D"/>
    <w:rsid w:val="00516E70"/>
    <w:rsid w:val="0066538C"/>
    <w:rsid w:val="008753A5"/>
    <w:rsid w:val="00877C90"/>
    <w:rsid w:val="009B4F1F"/>
    <w:rsid w:val="00A22E8A"/>
    <w:rsid w:val="00B07C17"/>
    <w:rsid w:val="00B9740C"/>
    <w:rsid w:val="00C22796"/>
    <w:rsid w:val="00CB4B0F"/>
    <w:rsid w:val="00DA00CC"/>
    <w:rsid w:val="00E0536D"/>
    <w:rsid w:val="00E63993"/>
    <w:rsid w:val="00FC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A8F04-7B57-4B47-98ED-65C72597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E8A"/>
    <w:pPr>
      <w:spacing w:after="200" w:line="276" w:lineRule="auto"/>
    </w:pPr>
  </w:style>
  <w:style w:type="paragraph" w:styleId="Heading1">
    <w:name w:val="heading 1"/>
    <w:basedOn w:val="Normal"/>
    <w:next w:val="Normal"/>
    <w:link w:val="Heading1Char"/>
    <w:uiPriority w:val="9"/>
    <w:qFormat/>
    <w:rsid w:val="00A22E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22E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22E8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8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22E8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22E8A"/>
    <w:rPr>
      <w:rFonts w:asciiTheme="majorHAnsi" w:eastAsiaTheme="majorEastAsia" w:hAnsiTheme="majorHAnsi" w:cstheme="majorBidi"/>
      <w:b/>
      <w:bCs/>
      <w:color w:val="5B9BD5" w:themeColor="accent1"/>
    </w:rPr>
  </w:style>
  <w:style w:type="table" w:styleId="TableGrid">
    <w:name w:val="Table Grid"/>
    <w:basedOn w:val="TableNormal"/>
    <w:uiPriority w:val="59"/>
    <w:rsid w:val="00A2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2E8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2E8A"/>
    <w:rPr>
      <w:rFonts w:asciiTheme="majorHAnsi" w:eastAsiaTheme="majorEastAsia" w:hAnsiTheme="majorHAnsi" w:cstheme="majorBidi"/>
      <w:color w:val="323E4F" w:themeColor="text2" w:themeShade="BF"/>
      <w:spacing w:val="5"/>
      <w:kern w:val="28"/>
      <w:sz w:val="52"/>
      <w:szCs w:val="52"/>
    </w:rPr>
  </w:style>
  <w:style w:type="paragraph" w:styleId="FootnoteText">
    <w:name w:val="footnote text"/>
    <w:basedOn w:val="Normal"/>
    <w:link w:val="FootnoteTextChar"/>
    <w:semiHidden/>
    <w:unhideWhenUsed/>
    <w:rsid w:val="00A22E8A"/>
    <w:pPr>
      <w:spacing w:after="0" w:line="240" w:lineRule="auto"/>
    </w:pPr>
    <w:rPr>
      <w:sz w:val="20"/>
      <w:szCs w:val="20"/>
    </w:rPr>
  </w:style>
  <w:style w:type="character" w:customStyle="1" w:styleId="FootnoteTextChar">
    <w:name w:val="Footnote Text Char"/>
    <w:basedOn w:val="DefaultParagraphFont"/>
    <w:link w:val="FootnoteText"/>
    <w:semiHidden/>
    <w:rsid w:val="00A22E8A"/>
    <w:rPr>
      <w:sz w:val="20"/>
      <w:szCs w:val="20"/>
    </w:rPr>
  </w:style>
  <w:style w:type="character" w:styleId="FootnoteReference">
    <w:name w:val="footnote reference"/>
    <w:basedOn w:val="DefaultParagraphFont"/>
    <w:semiHidden/>
    <w:unhideWhenUsed/>
    <w:rsid w:val="00A22E8A"/>
    <w:rPr>
      <w:vertAlign w:val="superscript"/>
    </w:rPr>
  </w:style>
  <w:style w:type="table" w:styleId="PlainTable1">
    <w:name w:val="Plain Table 1"/>
    <w:basedOn w:val="TableNormal"/>
    <w:uiPriority w:val="41"/>
    <w:rsid w:val="00A22E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22E8A"/>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3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BA406-F00E-4F88-89B6-3F7835F9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3539</Words>
  <Characters>20173</Characters>
  <Application>Microsoft Office Word</Application>
  <DocSecurity>0</DocSecurity>
  <Lines>168</Lines>
  <Paragraphs>47</Paragraphs>
  <ScaleCrop>false</ScaleCrop>
  <Company/>
  <LinksUpToDate>false</LinksUpToDate>
  <CharactersWithSpaces>23665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14</cp:revision>
  <dcterms:created xsi:type="dcterms:W3CDTF">2015-12-28T16:58:00Z</dcterms:created>
  <dcterms:modified xsi:type="dcterms:W3CDTF">2015-12-28T17:42:00Z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justin.lane@spc.ox.ac.uk@www.mendeley.com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