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PREDICTIVE FORECASTING OF CARE LOAD &amp; PLACEMENT DEMAND</w:t>
      </w:r>
    </w:p>
    <w:p>
      <w:pPr>
        <w:jc w:val="center"/>
      </w:pPr>
      <w:r>
        <w:rPr>
          <w:i/>
        </w:rPr>
        <w:t>UAC Program • Predictive Analytics Project</w:t>
      </w:r>
    </w:p>
    <w:p>
      <w:pPr>
        <w:jc w:val="center"/>
      </w:pPr>
      <w:r>
        <w:t>Unified Mentor / U.S. Department of Health and Human Services context</w:t>
      </w:r>
    </w:p>
    <w:p>
      <w:pPr>
        <w:pStyle w:val="Heading1"/>
      </w:pPr>
      <w:r>
        <w:t>Executive Summary</w:t>
      </w:r>
    </w:p>
    <w:p>
      <w:r>
        <w:t>This project converts historical UAC operational reporting into a forward-looking analytical workflow. The supplied daily dataset is used to forecast the number of children in HHS care and short-term discharge/placement demand. The solution combines statistical time-series models and machine-learning regressors, preserves chronological order during validation, quantifies forecast uncertainty, and provides scenario-based capacity stress testing through an interactive Streamlit dashboard.</w:t>
      </w:r>
    </w:p>
    <w:p>
      <w:r>
        <w:t>The dashboard is designed for planners who need to answer four operational questions: how much care load may be present in the next days or weeks; whether expected discharges may offset incoming transfers; when a selected capacity threshold may be approached; and how forecasts change under stress scenarios. The project deliberately labels assumptions and uncertainty so that model outputs are not presented as guarantees.</w:t>
      </w:r>
    </w:p>
    <w:p>
      <w:pPr>
        <w:pStyle w:val="Heading1"/>
      </w:pPr>
      <w:r>
        <w:t>1. Background and Business Context</w:t>
      </w:r>
    </w:p>
    <w:p>
      <w:r>
        <w:t>The UAC Program operates in a high-uncertainty environment. Changes in border activity, policy enforcement, or humanitarian conditions can change intake and transfer flows. Descriptive analytics explain historical behavior, but planning requires short-term forecasts and early-warning signals. This project therefore focuses on predictive care-load and placement-demand intelligence.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Short-term forecasts of children in HHS care are required for proactive capacity planning.</w:t>
      </w:r>
    </w:p>
    <w:p>
      <w:pPr>
        <w:pStyle w:val="ListBullet"/>
      </w:pPr>
      <w:r>
        <w:t>Future discharge/placement demand needs to be estimated rather than assessed only after the fact.</w:t>
      </w:r>
    </w:p>
    <w:p>
      <w:pPr>
        <w:pStyle w:val="ListBullet"/>
      </w:pPr>
      <w:r>
        <w:t>Operational teams need an early-warning signal for potential capacity pressure.</w:t>
      </w:r>
    </w:p>
    <w:p>
      <w:pPr>
        <w:pStyle w:val="ListBullet"/>
      </w:pPr>
      <w:r>
        <w:t>Forecast uncertainty must be visible so decision-makers can distinguish a likely range from a single point estimate.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Forecast the number of children in HHS care.</w:t>
      </w:r>
    </w:p>
    <w:p>
      <w:pPr>
        <w:pStyle w:val="ListBullet"/>
      </w:pPr>
      <w:r>
        <w:t>Estimate the future imbalance between transfers into HHS and exits from HHS care.</w:t>
      </w:r>
    </w:p>
    <w:p>
      <w:pPr>
        <w:pStyle w:val="ListBullet"/>
      </w:pPr>
      <w:r>
        <w:t>Forecast short-term discharge/placement demand.</w:t>
      </w:r>
    </w:p>
    <w:p>
      <w:pPr>
        <w:pStyle w:val="ListBullet"/>
      </w:pPr>
      <w:r>
        <w:t>Provide early-warning indicators for capacity planning.</w:t>
      </w:r>
    </w:p>
    <w:p>
      <w:pPr>
        <w:pStyle w:val="ListBullet"/>
      </w:pPr>
      <w:r>
        <w:t>Quantify uncertainty with forecast intervals.</w:t>
      </w:r>
    </w:p>
    <w:p>
      <w:pPr>
        <w:pStyle w:val="ListBullet"/>
      </w:pPr>
      <w:r>
        <w:t>Compare baseline, statistical and machine-learning forecasting approaches.</w:t>
      </w:r>
    </w:p>
    <w:p>
      <w:pPr>
        <w:pStyle w:val="Heading1"/>
      </w:pPr>
      <w:r>
        <w:t>4.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Analytical meaning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Date</w:t>
            </w:r>
          </w:p>
        </w:tc>
        <w:tc>
          <w:tcPr>
            <w:tcW w:type="dxa" w:w="4968"/>
            <w:vAlign w:val="center"/>
          </w:tcPr>
          <w:p>
            <w:r>
              <w:t>Reporting date</w:t>
            </w:r>
          </w:p>
        </w:tc>
      </w:tr>
      <w:tr>
        <w:tc>
          <w:tcPr>
            <w:tcW w:type="dxa" w:w="4968"/>
            <w:vAlign w:val="center"/>
          </w:tcPr>
          <w:p>
            <w:r>
              <w:t>Children apprehended and placed in CBP custody*</w:t>
            </w:r>
          </w:p>
        </w:tc>
        <w:tc>
          <w:tcPr>
            <w:tcW w:type="dxa" w:w="4968"/>
            <w:vAlign w:val="center"/>
          </w:tcPr>
          <w:p>
            <w:r>
              <w:t>Daily intake volume</w:t>
            </w:r>
          </w:p>
        </w:tc>
      </w:tr>
      <w:tr>
        <w:tc>
          <w:tcPr>
            <w:tcW w:type="dxa" w:w="4968"/>
            <w:vAlign w:val="center"/>
          </w:tcPr>
          <w:p>
            <w:r>
              <w:t>Children in CBP custody</w:t>
            </w:r>
          </w:p>
        </w:tc>
        <w:tc>
          <w:tcPr>
            <w:tcW w:type="dxa" w:w="4968"/>
            <w:vAlign w:val="center"/>
          </w:tcPr>
          <w:p>
            <w:r>
              <w:t>Active CBP care load</w:t>
            </w:r>
          </w:p>
        </w:tc>
      </w:tr>
      <w:tr>
        <w:tc>
          <w:tcPr>
            <w:tcW w:type="dxa" w:w="4968"/>
            <w:vAlign w:val="center"/>
          </w:tcPr>
          <w:p>
            <w:r>
              <w:t>Children transferred out of CBP custody</w:t>
            </w:r>
          </w:p>
        </w:tc>
        <w:tc>
          <w:tcPr>
            <w:tcW w:type="dxa" w:w="4968"/>
            <w:vAlign w:val="center"/>
          </w:tcPr>
          <w:p>
            <w:r>
              <w:t>Flow into HHS system</w:t>
            </w:r>
          </w:p>
        </w:tc>
      </w:tr>
      <w:tr>
        <w:tc>
          <w:tcPr>
            <w:tcW w:type="dxa" w:w="4968"/>
            <w:vAlign w:val="center"/>
          </w:tcPr>
          <w:p>
            <w:r>
              <w:t>Children in HHS Care</w:t>
            </w:r>
          </w:p>
        </w:tc>
        <w:tc>
          <w:tcPr>
            <w:tcW w:type="dxa" w:w="4968"/>
            <w:vAlign w:val="center"/>
          </w:tcPr>
          <w:p>
            <w:r>
              <w:t>Active HHS care load / primary forecast target</w:t>
            </w:r>
          </w:p>
        </w:tc>
      </w:tr>
      <w:tr>
        <w:tc>
          <w:tcPr>
            <w:tcW w:type="dxa" w:w="4968"/>
            <w:vAlign w:val="center"/>
          </w:tcPr>
          <w:p>
            <w:r>
              <w:t>Children discharged from HHS Care</w:t>
            </w:r>
          </w:p>
        </w:tc>
        <w:tc>
          <w:tcPr>
            <w:tcW w:type="dxa" w:w="4968"/>
            <w:vAlign w:val="center"/>
          </w:tcPr>
          <w:p>
            <w:r>
              <w:t>Successful sponsor placements / primary discharge-demand target</w:t>
            </w:r>
          </w:p>
        </w:tc>
      </w:tr>
    </w:tbl>
    <w:p>
      <w:pPr>
        <w:pStyle w:val="Heading1"/>
      </w:pPr>
      <w:r>
        <w:t>5. Data Quality and Time-Series Preparation</w:t>
      </w:r>
    </w:p>
    <w:p>
      <w:r>
        <w:t>The supplied CSV contains 1,170 rows. 450 rows are completely blank. After removing blank rows, 720 dated observations remain. Reporting dates are not continuous. The pipeline creates a daily date index, identifies missing calendar days, and interpolates numeric gaps using time interpolation followed by forward/backward filling where needed. Missing reporting days are not treated as zero activity.</w:t>
      </w:r>
    </w:p>
    <w:p>
      <w:r>
        <w:t>This decision is important because inserting zeros for absent reporting days would artificially depress the care-load series and distort both trend and seasonality. The dashboard displays the data-quality counts so the treatment is auditable.</w:t>
      </w:r>
    </w:p>
    <w:p>
      <w:pPr>
        <w:pStyle w:val="Heading1"/>
      </w:pPr>
      <w:r>
        <w:t>6. Exploratory Data Analysis</w:t>
      </w:r>
    </w:p>
    <w:p>
      <w:pPr>
        <w:pStyle w:val="ListBullet"/>
      </w:pPr>
      <w:r>
        <w:t>Care-load trend: the dashboard displays historical HHS care load with 7-day and 14-day context.</w:t>
      </w:r>
    </w:p>
    <w:p>
      <w:pPr>
        <w:pStyle w:val="ListBullet"/>
      </w:pPr>
      <w:r>
        <w:t>Flow comparison: transfers into HHS are compared with discharges.</w:t>
      </w:r>
    </w:p>
    <w:p>
      <w:pPr>
        <w:pStyle w:val="ListBullet"/>
      </w:pPr>
      <w:r>
        <w:t>Net pressure: Transfers − Discharges is used as a directional operational-pressure indicator.</w:t>
      </w:r>
    </w:p>
    <w:p>
      <w:pPr>
        <w:pStyle w:val="ListBullet"/>
      </w:pPr>
      <w:r>
        <w:t>Distributional review: descriptive statistics are available for intake, CBP custody, transfers, HHS care and discharges.</w:t>
      </w:r>
    </w:p>
    <w:p>
      <w:pPr>
        <w:pStyle w:val="Heading1"/>
      </w:pPr>
      <w:r>
        <w:t>7. Feature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Feature group</w:t>
            </w:r>
          </w:p>
        </w:tc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Features</w:t>
            </w:r>
          </w:p>
        </w:tc>
      </w:tr>
      <w:tr>
        <w:tc>
          <w:tcPr>
            <w:tcW w:type="dxa" w:w="4968"/>
            <w:vAlign w:val="center"/>
          </w:tcPr>
          <w:p>
            <w:r>
              <w:t>Lag signals</w:t>
            </w:r>
          </w:p>
        </w:tc>
        <w:tc>
          <w:tcPr>
            <w:tcW w:type="dxa" w:w="4968"/>
            <w:vAlign w:val="center"/>
          </w:tcPr>
          <w:p>
            <w:r>
              <w:t>t−1, t−7, t−14</w:t>
            </w:r>
          </w:p>
        </w:tc>
      </w:tr>
      <w:tr>
        <w:tc>
          <w:tcPr>
            <w:tcW w:type="dxa" w:w="4968"/>
            <w:vAlign w:val="center"/>
          </w:tcPr>
          <w:p>
            <w:r>
              <w:t>Rolling statistics</w:t>
            </w:r>
          </w:p>
        </w:tc>
        <w:tc>
          <w:tcPr>
            <w:tcW w:type="dxa" w:w="4968"/>
            <w:vAlign w:val="center"/>
          </w:tcPr>
          <w:p>
            <w:r>
              <w:t>7-day and 14-day rolling mean and standard deviation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Flow-based signal</w:t>
            </w:r>
          </w:p>
        </w:tc>
        <w:tc>
          <w:tcPr>
            <w:tcW w:type="dxa" w:w="4968"/>
            <w:vAlign w:val="center"/>
          </w:tcPr>
          <w:p>
            <w:r>
              <w:t>Net Pressure = Transfers − Discharges</w:t>
            </w:r>
          </w:p>
        </w:tc>
      </w:tr>
      <w:tr>
        <w:tc>
          <w:tcPr>
            <w:tcW w:type="dxa" w:w="4968"/>
            <w:vAlign w:val="center"/>
          </w:tcPr>
          <w:p>
            <w:r>
              <w:t>Calendar effects</w:t>
            </w:r>
          </w:p>
        </w:tc>
        <w:tc>
          <w:tcPr>
            <w:tcW w:type="dxa" w:w="4968"/>
            <w:vAlign w:val="center"/>
          </w:tcPr>
          <w:p>
            <w:r>
              <w:t>Day of week, month, day of year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variables</w:t>
            </w:r>
          </w:p>
        </w:tc>
        <w:tc>
          <w:tcPr>
            <w:tcW w:type="dxa" w:w="4968"/>
            <w:vAlign w:val="center"/>
          </w:tcPr>
          <w:p>
            <w:r>
              <w:t>Children in HHS Care; Children discharged from HHS Care</w:t>
            </w:r>
          </w:p>
        </w:tc>
      </w:tr>
    </w:tbl>
    <w:p>
      <w:pPr>
        <w:pStyle w:val="Heading1"/>
      </w:pPr>
      <w:r>
        <w:t>8. Forecasting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2545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312"/>
            <w:shd w:fill="0B2545"/>
          </w:tcPr>
          <w:p>
            <w:r>
              <w:rPr>
                <w:b/>
                <w:color w:val="FFFFFF"/>
              </w:rPr>
              <w:t>Models</w:t>
            </w:r>
          </w:p>
        </w:tc>
        <w:tc>
          <w:tcPr>
            <w:tcW w:type="dxa" w:w="3312"/>
            <w:shd w:fill="0B2545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>
              <w:t>Baseline</w:t>
            </w:r>
          </w:p>
        </w:tc>
        <w:tc>
          <w:tcPr>
            <w:tcW w:type="dxa" w:w="3312"/>
            <w:vAlign w:val="center"/>
          </w:tcPr>
          <w:p>
            <w:r>
              <w:t>Naïve Persistence</w:t>
            </w:r>
          </w:p>
        </w:tc>
        <w:tc>
          <w:tcPr>
            <w:tcW w:type="dxa" w:w="3312"/>
            <w:vAlign w:val="center"/>
          </w:tcPr>
          <w:p>
            <w:r>
              <w:t>Reference point: next value equals latest value</w:t>
            </w:r>
          </w:p>
        </w:tc>
      </w:tr>
      <w:tr>
        <w:tc>
          <w:tcPr>
            <w:tcW w:type="dxa" w:w="3312"/>
            <w:vAlign w:val="center"/>
          </w:tcPr>
          <w:p>
            <w:r>
              <w:t>Baseline</w:t>
            </w:r>
          </w:p>
        </w:tc>
        <w:tc>
          <w:tcPr>
            <w:tcW w:type="dxa" w:w="3312"/>
            <w:vAlign w:val="center"/>
          </w:tcPr>
          <w:p>
            <w:r>
              <w:t>7-Day Moving Average</w:t>
            </w:r>
          </w:p>
        </w:tc>
        <w:tc>
          <w:tcPr>
            <w:tcW w:type="dxa" w:w="3312"/>
            <w:vAlign w:val="center"/>
          </w:tcPr>
          <w:p>
            <w:r>
              <w:t>Smooth short-term persistence baseline</w:t>
            </w:r>
          </w:p>
        </w:tc>
      </w:tr>
      <w:tr>
        <w:tc>
          <w:tcPr>
            <w:tcW w:type="dxa" w:w="3312"/>
            <w:vAlign w:val="center"/>
          </w:tcPr>
          <w:p>
            <w:r>
              <w:t>Statistical</w:t>
            </w:r>
          </w:p>
        </w:tc>
        <w:tc>
          <w:tcPr>
            <w:tcW w:type="dxa" w:w="3312"/>
            <w:vAlign w:val="center"/>
          </w:tcPr>
          <w:p>
            <w:r>
              <w:t>Exponential Smoothing</w:t>
            </w:r>
          </w:p>
        </w:tc>
        <w:tc>
          <w:tcPr>
            <w:tcW w:type="dxa" w:w="3312"/>
            <w:vAlign w:val="center"/>
          </w:tcPr>
          <w:p>
            <w:r>
              <w:t>Trend + weekly seasonal structure</w:t>
            </w:r>
          </w:p>
        </w:tc>
      </w:tr>
      <w:tr>
        <w:tc>
          <w:tcPr>
            <w:tcW w:type="dxa" w:w="3312"/>
            <w:vAlign w:val="center"/>
          </w:tcPr>
          <w:p>
            <w:r>
              <w:t>Statistical</w:t>
            </w:r>
          </w:p>
        </w:tc>
        <w:tc>
          <w:tcPr>
            <w:tcW w:type="dxa" w:w="3312"/>
            <w:vAlign w:val="center"/>
          </w:tcPr>
          <w:p>
            <w:r>
              <w:t>ARIMA</w:t>
            </w:r>
          </w:p>
        </w:tc>
        <w:tc>
          <w:tcPr>
            <w:tcW w:type="dxa" w:w="3312"/>
            <w:vAlign w:val="center"/>
          </w:tcPr>
          <w:p>
            <w:r>
              <w:t>Non-seasonal autoregressive/integrated moving-average benchmark</w:t>
            </w:r>
          </w:p>
        </w:tc>
      </w:tr>
      <w:tr>
        <w:tc>
          <w:tcPr>
            <w:tcW w:type="dxa" w:w="3312"/>
            <w:vAlign w:val="center"/>
          </w:tcPr>
          <w:p>
            <w:r>
              <w:t>Statistical</w:t>
            </w:r>
          </w:p>
        </w:tc>
        <w:tc>
          <w:tcPr>
            <w:tcW w:type="dxa" w:w="3312"/>
            <w:vAlign w:val="center"/>
          </w:tcPr>
          <w:p>
            <w:r>
              <w:t>SARIMA</w:t>
            </w:r>
          </w:p>
        </w:tc>
        <w:tc>
          <w:tcPr>
            <w:tcW w:type="dxa" w:w="3312"/>
            <w:vAlign w:val="center"/>
          </w:tcPr>
          <w:p>
            <w:r>
              <w:t>ARIMA with weekly seasonality</w:t>
            </w:r>
          </w:p>
        </w:tc>
      </w:tr>
      <w:tr>
        <w:tc>
          <w:tcPr>
            <w:tcW w:type="dxa" w:w="3312"/>
            <w:vAlign w:val="center"/>
          </w:tcPr>
          <w:p>
            <w:r>
              <w:t>Machine Learning</w:t>
            </w:r>
          </w:p>
        </w:tc>
        <w:tc>
          <w:tcPr>
            <w:tcW w:type="dxa" w:w="3312"/>
            <w:vAlign w:val="center"/>
          </w:tcPr>
          <w:p>
            <w:r>
              <w:t>Random Forest Regressor</w:t>
            </w:r>
          </w:p>
        </w:tc>
        <w:tc>
          <w:tcPr>
            <w:tcW w:type="dxa" w:w="3312"/>
            <w:vAlign w:val="center"/>
          </w:tcPr>
          <w:p>
            <w:r>
              <w:t>Nonlinear lag/rolling/calendar relationships</w:t>
            </w:r>
          </w:p>
        </w:tc>
      </w:tr>
      <w:tr>
        <w:tc>
          <w:tcPr>
            <w:tcW w:type="dxa" w:w="3312"/>
            <w:vAlign w:val="center"/>
          </w:tcPr>
          <w:p>
            <w:r>
              <w:t>Machine Learning</w:t>
            </w:r>
          </w:p>
        </w:tc>
        <w:tc>
          <w:tcPr>
            <w:tcW w:type="dxa" w:w="3312"/>
            <w:vAlign w:val="center"/>
          </w:tcPr>
          <w:p>
            <w:r>
              <w:t>Gradient Boosting Regressor</w:t>
            </w:r>
          </w:p>
        </w:tc>
        <w:tc>
          <w:tcPr>
            <w:tcW w:type="dxa" w:w="3312"/>
            <w:vAlign w:val="center"/>
          </w:tcPr>
          <w:p>
            <w:r>
              <w:t>Boosted nonlinear regression using engineered features</w:t>
            </w:r>
          </w:p>
        </w:tc>
      </w:tr>
    </w:tbl>
    <w:p>
      <w:pPr>
        <w:pStyle w:val="Heading1"/>
      </w:pPr>
      <w:r>
        <w:t>9. Train-Test and Validation Strategy</w:t>
      </w:r>
    </w:p>
    <w:p>
      <w:r>
        <w:t>Random sampling is intentionally avoided because it can leak future information into training. The dashboard uses a strict chronological holdout and a walk-forward evaluation design. Walk-forward evaluation repeats forecasting from multiple historical origins and measures 7-day, 14-day and 30-day horizons. This directly addresses the project requirement for short- and medium-term reliability.</w:t>
      </w:r>
    </w:p>
    <w:p>
      <w:pPr>
        <w:pStyle w:val="Heading1"/>
      </w:pPr>
      <w:r>
        <w:t>10.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Interpretation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MAE</w:t>
            </w:r>
          </w:p>
        </w:tc>
        <w:tc>
          <w:tcPr>
            <w:tcW w:type="dxa" w:w="4968"/>
            <w:vAlign w:val="center"/>
          </w:tcPr>
          <w:p>
            <w:r>
              <w:t>Average absolute forecast error in children</w:t>
            </w:r>
          </w:p>
        </w:tc>
      </w:tr>
      <w:tr>
        <w:tc>
          <w:tcPr>
            <w:tcW w:type="dxa" w:w="4968"/>
            <w:vAlign w:val="center"/>
          </w:tcPr>
          <w:p>
            <w:r>
              <w:t>RMSE</w:t>
            </w:r>
          </w:p>
        </w:tc>
        <w:tc>
          <w:tcPr>
            <w:tcW w:type="dxa" w:w="4968"/>
            <w:vAlign w:val="center"/>
          </w:tcPr>
          <w:p>
            <w:r>
              <w:t>Penalizes larger forecast errors more strongly</w:t>
            </w:r>
          </w:p>
        </w:tc>
      </w:tr>
      <w:tr>
        <w:tc>
          <w:tcPr>
            <w:tcW w:type="dxa" w:w="4968"/>
            <w:vAlign w:val="center"/>
          </w:tcPr>
          <w:p>
            <w:r>
              <w:t>MAPE</w:t>
            </w:r>
          </w:p>
        </w:tc>
        <w:tc>
          <w:tcPr>
            <w:tcW w:type="dxa" w:w="4968"/>
            <w:vAlign w:val="center"/>
          </w:tcPr>
          <w:p>
            <w:r>
              <w:t>Relative error percentage; calculated only where actual values are non-zero</w:t>
            </w:r>
          </w:p>
        </w:tc>
      </w:tr>
      <w:tr>
        <w:tc>
          <w:tcPr>
            <w:tcW w:type="dxa" w:w="4968"/>
            <w:vAlign w:val="center"/>
          </w:tcPr>
          <w:p>
            <w:r>
              <w:t>Horizon Error</w:t>
            </w:r>
          </w:p>
        </w:tc>
        <w:tc>
          <w:tcPr>
            <w:tcW w:type="dxa" w:w="4968"/>
            <w:vAlign w:val="center"/>
          </w:tcPr>
          <w:p>
            <w:r>
              <w:t>Compares error behavior at 7-, 14- and 30-day horizons</w:t>
            </w:r>
          </w:p>
        </w:tc>
      </w:tr>
    </w:tbl>
    <w:p>
      <w:pPr>
        <w:pStyle w:val="Heading1"/>
      </w:pPr>
      <w:r>
        <w:t>11. Uncertainty and Capacity Risk</w:t>
      </w:r>
    </w:p>
    <w:p>
      <w:r>
        <w:t>Statistical models provide 95% forecast/prediction intervals. Machine-learning forecasts use residual-based approximate intervals. A capacity-breach probability signal is derived from the forecast mean and interval width under a normal approximation. This is explicitly described as an analytical risk indicator rather than an observed or officially calibrated HHS probability.</w:t>
      </w:r>
    </w:p>
    <w:p>
      <w:r>
        <w:t>Surge lead time is defined as the first forecast day on which the predicted care load exceeds the user-selected planning capacity threshold. If no crossing occurs in the selected horizon, the dashboard reports that no breach is projected.</w:t>
      </w:r>
    </w:p>
    <w:p>
      <w:pPr>
        <w:pStyle w:val="Heading1"/>
      </w:pPr>
      <w:r>
        <w:t>12. KPI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4968"/>
            <w:shd w:fill="0B2545"/>
          </w:tcPr>
          <w:p>
            <w:r>
              <w:rPr>
                <w:b/>
                <w:color w:val="FFFFFF"/>
              </w:rPr>
              <w:t>Definition / implementation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Forecast Accuracy (%)</w:t>
            </w:r>
          </w:p>
        </w:tc>
        <w:tc>
          <w:tcPr>
            <w:tcW w:type="dxa" w:w="4968"/>
            <w:vAlign w:val="center"/>
          </w:tcPr>
          <w:p>
            <w:r>
              <w:t>100 − MAPE for the selected model on the latest 14-day chronological holdout</w:t>
            </w:r>
          </w:p>
        </w:tc>
      </w:tr>
      <w:tr>
        <w:tc>
          <w:tcPr>
            <w:tcW w:type="dxa" w:w="4968"/>
            <w:vAlign w:val="center"/>
          </w:tcPr>
          <w:p>
            <w:r>
              <w:t>Surge Lead Time</w:t>
            </w:r>
          </w:p>
        </w:tc>
        <w:tc>
          <w:tcPr>
            <w:tcW w:type="dxa" w:w="4968"/>
            <w:vAlign w:val="center"/>
          </w:tcPr>
          <w:p>
            <w:r>
              <w:t>Days until the first forecast crossing of the selected capacity threshold</w:t>
            </w:r>
          </w:p>
        </w:tc>
      </w:tr>
      <w:tr>
        <w:tc>
          <w:tcPr>
            <w:tcW w:type="dxa" w:w="4968"/>
            <w:vAlign w:val="center"/>
          </w:tcPr>
          <w:p>
            <w:r>
              <w:t>Capacity Breach Probability</w:t>
            </w:r>
          </w:p>
        </w:tc>
        <w:tc>
          <w:tcPr>
            <w:tcW w:type="dxa" w:w="4968"/>
            <w:vAlign w:val="center"/>
          </w:tcPr>
          <w:p>
            <w:r>
              <w:t>Maximum daily probability above threshold implied by the forecast interval</w:t>
            </w:r>
          </w:p>
        </w:tc>
      </w:tr>
      <w:tr>
        <w:tc>
          <w:tcPr>
            <w:tcW w:type="dxa" w:w="4968"/>
            <w:vAlign w:val="center"/>
          </w:tcPr>
          <w:p>
            <w:r>
              <w:t>Forecast Stability Index</w:t>
            </w:r>
          </w:p>
        </w:tc>
        <w:tc>
          <w:tcPr>
            <w:tcW w:type="dxa" w:w="4968"/>
            <w:vAlign w:val="center"/>
          </w:tcPr>
          <w:p>
            <w:r>
              <w:t>100 minus normalized dispersion of the forecast path; higher indicates a smoother projection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Model Robustness</w:t>
            </w:r>
          </w:p>
        </w:tc>
        <w:tc>
          <w:tcPr>
            <w:tcW w:type="dxa" w:w="4968"/>
            <w:vAlign w:val="center"/>
          </w:tcPr>
          <w:p>
            <w:r>
              <w:t>Stability of mean MAPE across walk-forward horizons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Net Pressure</w:t>
            </w:r>
          </w:p>
        </w:tc>
        <w:tc>
          <w:tcPr>
            <w:tcW w:type="dxa" w:w="4968"/>
            <w:vAlign w:val="center"/>
          </w:tcPr>
          <w:p>
            <w:r>
              <w:t>7-day average of transfers minus discharges</w:t>
            </w:r>
          </w:p>
        </w:tc>
      </w:tr>
    </w:tbl>
    <w:p>
      <w:pPr>
        <w:pStyle w:val="Heading1"/>
      </w:pPr>
      <w:r>
        <w:t>13. Streamlit Dashboard Modules</w:t>
      </w:r>
    </w:p>
    <w:p>
      <w:pPr>
        <w:pStyle w:val="ListBullet"/>
      </w:pPr>
      <w:r>
        <w:t>Executive dashboard with KPI cards and forecast charts.</w:t>
      </w:r>
    </w:p>
    <w:p>
      <w:pPr>
        <w:pStyle w:val="ListBullet"/>
      </w:pPr>
      <w:r>
        <w:t>Future Care Load Forecast Chart with 95% confidence interval.</w:t>
      </w:r>
    </w:p>
    <w:p>
      <w:pPr>
        <w:pStyle w:val="ListBullet"/>
      </w:pPr>
      <w:r>
        <w:t>Discharge Demand Forecast Panel.</w:t>
      </w:r>
    </w:p>
    <w:p>
      <w:pPr>
        <w:pStyle w:val="ListBullet"/>
      </w:pPr>
      <w:r>
        <w:t>Transfers vs Discharges and Net Pressure chart.</w:t>
      </w:r>
    </w:p>
    <w:p>
      <w:pPr>
        <w:pStyle w:val="ListBullet"/>
      </w:pPr>
      <w:r>
        <w:t>Model Selection and Model Comparison module.</w:t>
      </w:r>
    </w:p>
    <w:p>
      <w:pPr>
        <w:pStyle w:val="ListBullet"/>
      </w:pPr>
      <w:r>
        <w:t>Chronological holdout and walk-forward multi-horizon validation.</w:t>
      </w:r>
    </w:p>
    <w:p>
      <w:pPr>
        <w:pStyle w:val="ListBullet"/>
      </w:pPr>
      <w:r>
        <w:t>Scenario Comparison for baseline, +20% transfers, −15% discharges and combined stress.</w:t>
      </w:r>
    </w:p>
    <w:p>
      <w:pPr>
        <w:pStyle w:val="ListBullet"/>
      </w:pPr>
      <w:r>
        <w:t>KPI &amp; Insights module with early-warning interpretation.</w:t>
      </w:r>
    </w:p>
    <w:p>
      <w:pPr>
        <w:pStyle w:val="ListBullet"/>
      </w:pPr>
      <w:r>
        <w:t>Data Overview module with quality counts and descriptive statistics.</w:t>
      </w:r>
    </w:p>
    <w:p>
      <w:pPr>
        <w:pStyle w:val="ListBullet"/>
      </w:pPr>
      <w:r>
        <w:t>Methodology tab mapping every supplied requirement to an implementation.</w:t>
      </w:r>
    </w:p>
    <w:p>
      <w:pPr>
        <w:pStyle w:val="ListBullet"/>
      </w:pPr>
      <w:r>
        <w:t>Downloadable care-load forecast CSV.</w:t>
      </w:r>
    </w:p>
    <w:p>
      <w:pPr>
        <w:pStyle w:val="Heading1"/>
      </w:pPr>
      <w:r>
        <w:t>14. Scenario Analysis</w:t>
      </w:r>
    </w:p>
    <w:p>
      <w:r>
        <w:t>The dashboard includes a transparent sensitivity analysis rather than claiming that a hypothetical scenario is a causal prediction. Users can compare a baseline with +20% transfers, −15% discharges, or combined stress. Scenario changes are applied to the net-pressure signal to illustrate how operational stress could affect projected care load.</w:t>
      </w:r>
    </w:p>
    <w:p>
      <w:pPr>
        <w:pStyle w:val="Heading1"/>
      </w:pPr>
      <w:r>
        <w:t>15. Operational Recommendations</w:t>
      </w:r>
    </w:p>
    <w:p>
      <w:pPr>
        <w:pStyle w:val="ListBullet"/>
      </w:pPr>
      <w:r>
        <w:t>Use the forecast range, not only the point forecast, when considering capacity.</w:t>
      </w:r>
    </w:p>
    <w:p>
      <w:pPr>
        <w:pStyle w:val="ListBullet"/>
      </w:pPr>
      <w:r>
        <w:t>Monitor transfer-versus-discharge net pressure as a daily early-warning signal.</w:t>
      </w:r>
    </w:p>
    <w:p>
      <w:pPr>
        <w:pStyle w:val="ListBullet"/>
      </w:pPr>
      <w:r>
        <w:t>Review the 7-, 14- and 30-day model errors before relying on a model for a specific planning horizon.</w:t>
      </w:r>
    </w:p>
    <w:p>
      <w:pPr>
        <w:pStyle w:val="ListBullet"/>
      </w:pPr>
      <w:r>
        <w:t>Use scenario analysis for contingency planning rather than treating scenario values as expected outcomes.</w:t>
      </w:r>
    </w:p>
    <w:p>
      <w:pPr>
        <w:pStyle w:val="ListBullet"/>
      </w:pPr>
      <w:r>
        <w:t>Refresh the model as new daily observations arrive and monitor forecast error drift.</w:t>
      </w:r>
    </w:p>
    <w:p>
      <w:pPr>
        <w:pStyle w:val="ListBullet"/>
      </w:pPr>
      <w:r>
        <w:t>Escalate capacity planning when projected care load approaches the selected threshold or when the confidence interval materially overlaps/exceeds it.</w:t>
      </w:r>
    </w:p>
    <w:p>
      <w:pPr>
        <w:pStyle w:val="Heading1"/>
      </w:pPr>
      <w:r>
        <w:t>16. Limitations</w:t>
      </w:r>
    </w:p>
    <w:p>
      <w:pPr>
        <w:pStyle w:val="ListBullet"/>
      </w:pPr>
      <w:r>
        <w:t>The supplied data has missing reporting days and blank rows; interpolation introduces assumptions.</w:t>
      </w:r>
    </w:p>
    <w:p>
      <w:pPr>
        <w:pStyle w:val="ListBullet"/>
      </w:pPr>
      <w:r>
        <w:t>The dataset does not contain explicit capacity, staffing, holiday, policy, or humanitarian-event variables.</w:t>
      </w:r>
    </w:p>
    <w:p>
      <w:pPr>
        <w:pStyle w:val="ListBullet"/>
      </w:pPr>
      <w:r>
        <w:t>Scenario analysis is a sensitivity test and not a causal model.</w:t>
      </w:r>
    </w:p>
    <w:p>
      <w:pPr>
        <w:pStyle w:val="ListBullet"/>
      </w:pPr>
      <w:r>
        <w:t>ML forecast intervals are approximate residual-based intervals rather than calibrated probabilistic forecasts.</w:t>
      </w:r>
    </w:p>
    <w:p>
      <w:pPr>
        <w:pStyle w:val="ListBullet"/>
      </w:pPr>
      <w:r>
        <w:t>Capacity breach probability is a model-derived signal and should be calibrated against historical capacity outcomes before operational use.</w:t>
      </w:r>
    </w:p>
    <w:p>
      <w:pPr>
        <w:pStyle w:val="ListBullet"/>
      </w:pPr>
      <w:r>
        <w:t>Forecast performance can change when future conditions differ from historical patterns.</w:t>
      </w:r>
    </w:p>
    <w:p>
      <w:pPr>
        <w:pStyle w:val="Heading1"/>
      </w:pPr>
      <w:r>
        <w:t>17. Requirements Compliance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B2545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12"/>
            <w:shd w:fill="0B2545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312"/>
            <w:shd w:fill="0B2545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12"/>
            <w:vAlign w:val="center"/>
          </w:tcPr>
          <w:p>
            <w:r>
              <w:t>Forecast HHS care load</w:t>
            </w:r>
          </w:p>
        </w:tc>
        <w:tc>
          <w:tcPr>
            <w:tcW w:type="dxa" w:w="3312"/>
            <w:vAlign w:val="center"/>
          </w:tcPr>
          <w:p>
            <w:r>
              <w:t>Care-load forecast chart + selectable horizon/model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Estimate intake/exits imbalance</w:t>
            </w:r>
          </w:p>
        </w:tc>
        <w:tc>
          <w:tcPr>
            <w:tcW w:type="dxa" w:w="3312"/>
            <w:vAlign w:val="center"/>
          </w:tcPr>
          <w:p>
            <w:r>
              <w:t>Net Pressure + transfer/discharge chart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Predict discharge demand</w:t>
            </w:r>
          </w:p>
        </w:tc>
        <w:tc>
          <w:tcPr>
            <w:tcW w:type="dxa" w:w="3312"/>
            <w:vAlign w:val="center"/>
          </w:tcPr>
          <w:p>
            <w:r>
              <w:t>Independent SARIMA discharge forecast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Early warning</w:t>
            </w:r>
          </w:p>
        </w:tc>
        <w:tc>
          <w:tcPr>
            <w:tcW w:type="dxa" w:w="3312"/>
            <w:vAlign w:val="center"/>
          </w:tcPr>
          <w:p>
            <w:r>
              <w:t>Capacity threshold + surge lead time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Forecast uncertainty</w:t>
            </w:r>
          </w:p>
        </w:tc>
        <w:tc>
          <w:tcPr>
            <w:tcW w:type="dxa" w:w="3312"/>
            <w:vAlign w:val="center"/>
          </w:tcPr>
          <w:p>
            <w:r>
              <w:t>95% intervals + breach-risk signal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Statistical vs ML comparison</w:t>
            </w:r>
          </w:p>
        </w:tc>
        <w:tc>
          <w:tcPr>
            <w:tcW w:type="dxa" w:w="3312"/>
            <w:vAlign w:val="center"/>
          </w:tcPr>
          <w:p>
            <w:r>
              <w:t>ETS, ARIMA, SARIMA, RF, GB + baselines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Time preparation</w:t>
            </w:r>
          </w:p>
        </w:tc>
        <w:tc>
          <w:tcPr>
            <w:tcW w:type="dxa" w:w="3312"/>
            <w:vAlign w:val="center"/>
          </w:tcPr>
          <w:p>
            <w:r>
              <w:t>Daily index + disclosed interpolation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Lag features</w:t>
            </w:r>
          </w:p>
        </w:tc>
        <w:tc>
          <w:tcPr>
            <w:tcW w:type="dxa" w:w="3312"/>
            <w:vAlign w:val="center"/>
          </w:tcPr>
          <w:p>
            <w:r>
              <w:t>1, 7, 14 days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Rolling statistics</w:t>
            </w:r>
          </w:p>
        </w:tc>
        <w:tc>
          <w:tcPr>
            <w:tcW w:type="dxa" w:w="3312"/>
            <w:vAlign w:val="center"/>
          </w:tcPr>
          <w:p>
            <w:r>
              <w:t>7 and 14-day mean/std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Calendar effects</w:t>
            </w:r>
          </w:p>
        </w:tc>
        <w:tc>
          <w:tcPr>
            <w:tcW w:type="dxa" w:w="3312"/>
            <w:vAlign w:val="center"/>
          </w:tcPr>
          <w:p>
            <w:r>
              <w:t>Weekday, month, day-of-year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Strict time split</w:t>
            </w:r>
          </w:p>
        </w:tc>
        <w:tc>
          <w:tcPr>
            <w:tcW w:type="dxa" w:w="3312"/>
            <w:vAlign w:val="center"/>
          </w:tcPr>
          <w:p>
            <w:r>
              <w:t>Chronological holdout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Walk-forward validation</w:t>
            </w:r>
          </w:p>
        </w:tc>
        <w:tc>
          <w:tcPr>
            <w:tcW w:type="dxa" w:w="3312"/>
            <w:vAlign w:val="center"/>
          </w:tcPr>
          <w:p>
            <w:r>
              <w:t>Multiple forecast origins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Multi-horizon evaluation</w:t>
            </w:r>
          </w:p>
        </w:tc>
        <w:tc>
          <w:tcPr>
            <w:tcW w:type="dxa" w:w="3312"/>
            <w:vAlign w:val="center"/>
          </w:tcPr>
          <w:p>
            <w:r>
              <w:t>7/14/30 days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MAE/RMSE/MAPE</w:t>
            </w:r>
          </w:p>
        </w:tc>
        <w:tc>
          <w:tcPr>
            <w:tcW w:type="dxa" w:w="3312"/>
            <w:vAlign w:val="center"/>
          </w:tcPr>
          <w:p>
            <w:r>
              <w:t>Dashboard and report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Horizon error</w:t>
            </w:r>
          </w:p>
        </w:tc>
        <w:tc>
          <w:tcPr>
            <w:tcW w:type="dxa" w:w="3312"/>
            <w:vAlign w:val="center"/>
          </w:tcPr>
          <w:p>
            <w:r>
              <w:t>Multi-horizon validation table/chart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Forecast accuracy KPI</w:t>
            </w:r>
          </w:p>
        </w:tc>
        <w:tc>
          <w:tcPr>
            <w:tcW w:type="dxa" w:w="3312"/>
            <w:vAlign w:val="center"/>
          </w:tcPr>
          <w:p>
            <w:r>
              <w:t>MAPE-derived KPI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Surge lead-time KPI</w:t>
            </w:r>
          </w:p>
        </w:tc>
        <w:tc>
          <w:tcPr>
            <w:tcW w:type="dxa" w:w="3312"/>
            <w:vAlign w:val="center"/>
          </w:tcPr>
          <w:p>
            <w:r>
              <w:t>Threshold crossing day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Capacity breach probability</w:t>
            </w:r>
          </w:p>
        </w:tc>
        <w:tc>
          <w:tcPr>
            <w:tcW w:type="dxa" w:w="3312"/>
            <w:vAlign w:val="center"/>
          </w:tcPr>
          <w:p>
            <w:r>
              <w:t>Interval-based analytical risk signal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Forecast Stability Index</w:t>
            </w:r>
          </w:p>
        </w:tc>
        <w:tc>
          <w:tcPr>
            <w:tcW w:type="dxa" w:w="3312"/>
            <w:vAlign w:val="center"/>
          </w:tcPr>
          <w:p>
            <w:r>
              <w:t>Defined KPI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Model robustness</w:t>
            </w:r>
          </w:p>
        </w:tc>
        <w:tc>
          <w:tcPr>
            <w:tcW w:type="dxa" w:w="3312"/>
            <w:vAlign w:val="center"/>
          </w:tcPr>
          <w:p>
            <w:r>
              <w:t>Cross-horizon MAPE stability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Scenario comparison</w:t>
            </w:r>
          </w:p>
        </w:tc>
        <w:tc>
          <w:tcPr>
            <w:tcW w:type="dxa" w:w="3312"/>
            <w:vAlign w:val="center"/>
          </w:tcPr>
          <w:p>
            <w:r>
              <w:t>Four stress scenarios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Research paper</w:t>
            </w:r>
          </w:p>
        </w:tc>
        <w:tc>
          <w:tcPr>
            <w:tcW w:type="dxa" w:w="3312"/>
            <w:vAlign w:val="center"/>
          </w:tcPr>
          <w:p>
            <w:r>
              <w:t>This report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Streamlit dashboard</w:t>
            </w:r>
          </w:p>
        </w:tc>
        <w:tc>
          <w:tcPr>
            <w:tcW w:type="dxa" w:w="3312"/>
            <w:vAlign w:val="center"/>
          </w:tcPr>
          <w:p>
            <w:r>
              <w:t>app.py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  <w:tr>
        <w:tc>
          <w:tcPr>
            <w:tcW w:type="dxa" w:w="3312"/>
            <w:vAlign w:val="center"/>
          </w:tcPr>
          <w:p>
            <w:r>
              <w:t>Executive summary</w:t>
            </w:r>
          </w:p>
        </w:tc>
        <w:tc>
          <w:tcPr>
            <w:tcW w:type="dxa" w:w="3312"/>
            <w:vAlign w:val="center"/>
          </w:tcPr>
          <w:p>
            <w:r>
              <w:t>Report + dashboard executive view</w:t>
            </w:r>
          </w:p>
        </w:tc>
        <w:tc>
          <w:tcPr>
            <w:tcW w:type="dxa" w:w="3312"/>
            <w:vAlign w:val="center"/>
          </w:tcPr>
          <w:p>
            <w:r>
              <w:t>Yes</w:t>
            </w:r>
          </w:p>
        </w:tc>
      </w:tr>
    </w:tbl>
    <w:p>
      <w:pPr>
        <w:pStyle w:val="Heading1"/>
      </w:pPr>
      <w:r>
        <w:t>18. Conclusion</w:t>
      </w:r>
    </w:p>
    <w:p>
      <w:r>
        <w:t>This project elevates the UAC dataset from historical reporting to predictive intelligence. It combines time-series preparation, engineered operational signals, statistical forecasting, machine learning, chronological validation, uncertainty quantification, scenario analysis and interactive visualization. The resulting dashboard provides a structured framework for anticipating care demand, monitoring placement pressure and supporting proactive capacity planning while clearly communicating uncertainty and model limitations.</w:t>
      </w:r>
    </w:p>
    <w:p>
      <w:pPr>
        <w:pStyle w:val="Heading1"/>
      </w:pPr>
      <w:r>
        <w:t>19. Reproducibility</w:t>
      </w:r>
    </w:p>
    <w:p>
      <w:r>
        <w:t>Place the CSV beside app.py, install the packages listed in requirements.txt, and run `python -m streamlit run app.py`. The dashboard automatically loads the supplied dataset and computes forecasts, validation metrics and scenario outputs.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