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63D7A" w14:textId="1ECA9320" w:rsidR="005B6212" w:rsidRPr="00F40280" w:rsidRDefault="005B6212" w:rsidP="00F40280">
      <w:pPr>
        <w:jc w:val="both"/>
        <w:rPr>
          <w:rFonts w:ascii="Arial" w:hAnsi="Arial" w:cs="Arial"/>
          <w:sz w:val="24"/>
          <w:szCs w:val="24"/>
        </w:rPr>
      </w:pPr>
      <w:r w:rsidRPr="00F40280">
        <w:rPr>
          <w:rFonts w:ascii="Arial" w:hAnsi="Arial" w:cs="Arial"/>
          <w:sz w:val="24"/>
          <w:szCs w:val="24"/>
        </w:rPr>
        <w:t>ADITIVOS E PQ USAR</w:t>
      </w:r>
    </w:p>
    <w:p w14:paraId="5C7B07AB" w14:textId="6FA5D125" w:rsidR="005B6212" w:rsidRPr="00F40280" w:rsidRDefault="005B6212" w:rsidP="00F40280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F40280">
        <w:rPr>
          <w:rFonts w:ascii="Arial" w:hAnsi="Arial" w:cs="Arial"/>
          <w:b/>
          <w:bCs/>
          <w:sz w:val="24"/>
          <w:szCs w:val="24"/>
        </w:rPr>
        <w:t>EXPLICAÇÃO PARA O USO DE ADITIVOS</w:t>
      </w:r>
    </w:p>
    <w:p w14:paraId="677683DC" w14:textId="73988D0C" w:rsidR="005B6212" w:rsidRDefault="005B6212" w:rsidP="00F40280">
      <w:pPr>
        <w:jc w:val="both"/>
        <w:rPr>
          <w:rFonts w:ascii="Arial" w:hAnsi="Arial" w:cs="Arial"/>
          <w:sz w:val="24"/>
          <w:szCs w:val="24"/>
        </w:rPr>
      </w:pPr>
      <w:r w:rsidRPr="00F40280">
        <w:rPr>
          <w:rFonts w:ascii="Arial" w:hAnsi="Arial" w:cs="Arial"/>
          <w:sz w:val="24"/>
          <w:szCs w:val="24"/>
        </w:rPr>
        <w:t>Para conter o crescente problema da resistência antimicrobiana exacerbada pela indústria pecuária, probióticos e compostos fitogênicos, como óleos essenciais, foram propostos como alternativas aos antibióticos na ração. Numerosos estudos confirmaram os papéis positivos do probiótico Bacillus no desempenho de crescimento e eficiência alimentar de leitões</w:t>
      </w:r>
      <w:r w:rsidR="001D148A" w:rsidRPr="00F40280">
        <w:rPr>
          <w:rFonts w:ascii="Arial" w:hAnsi="Arial" w:cs="Arial"/>
          <w:sz w:val="24"/>
          <w:szCs w:val="24"/>
        </w:rPr>
        <w:t>.</w:t>
      </w:r>
    </w:p>
    <w:p w14:paraId="1C95FC37" w14:textId="5949F9B3" w:rsidR="006F1DB7" w:rsidRPr="006F1DB7" w:rsidRDefault="006F1DB7" w:rsidP="006F1DB7">
      <w:pPr>
        <w:jc w:val="both"/>
        <w:rPr>
          <w:rFonts w:ascii="Arial" w:hAnsi="Arial" w:cs="Arial"/>
          <w:sz w:val="24"/>
          <w:szCs w:val="24"/>
          <w:lang w:val="en-US"/>
        </w:rPr>
      </w:pPr>
      <w:r w:rsidRPr="006F1DB7">
        <w:rPr>
          <w:rFonts w:ascii="Arial" w:hAnsi="Arial" w:cs="Arial"/>
          <w:sz w:val="24"/>
          <w:szCs w:val="24"/>
          <w:lang w:val="en-US"/>
        </w:rPr>
        <w:t>A GUIDE TO THE PRINCIPLES OF ANIMAL NUTRITION</w:t>
      </w:r>
      <w:r w:rsidR="00DB7EC7">
        <w:rPr>
          <w:rFonts w:ascii="Arial" w:hAnsi="Arial" w:cs="Arial"/>
          <w:sz w:val="24"/>
          <w:szCs w:val="24"/>
          <w:lang w:val="en-US"/>
        </w:rPr>
        <w:t>/</w:t>
      </w:r>
      <w:r w:rsidRPr="006F1DB7">
        <w:rPr>
          <w:rFonts w:ascii="Arial" w:hAnsi="Arial" w:cs="Arial"/>
          <w:sz w:val="24"/>
          <w:szCs w:val="24"/>
          <w:lang w:val="en-US"/>
        </w:rPr>
        <w:t>Gita Cherian</w:t>
      </w:r>
      <w:r w:rsidR="00DB7EC7">
        <w:rPr>
          <w:rFonts w:ascii="Arial" w:hAnsi="Arial" w:cs="Arial"/>
          <w:sz w:val="24"/>
          <w:szCs w:val="24"/>
          <w:lang w:val="en-US"/>
        </w:rPr>
        <w:t>/</w:t>
      </w:r>
      <w:r w:rsidRPr="006F1DB7">
        <w:rPr>
          <w:rFonts w:ascii="Arial" w:hAnsi="Arial" w:cs="Arial"/>
          <w:sz w:val="24"/>
          <w:szCs w:val="24"/>
          <w:lang w:val="en-US"/>
        </w:rPr>
        <w:t>PRIMARY SUBJECT</w:t>
      </w:r>
      <w:r w:rsidR="00DB7EC7">
        <w:rPr>
          <w:rFonts w:ascii="Arial" w:hAnsi="Arial" w:cs="Arial"/>
          <w:sz w:val="24"/>
          <w:szCs w:val="24"/>
          <w:lang w:val="en-US"/>
        </w:rPr>
        <w:t xml:space="preserve">: </w:t>
      </w:r>
      <w:r w:rsidRPr="006F1DB7">
        <w:rPr>
          <w:rFonts w:ascii="Arial" w:hAnsi="Arial" w:cs="Arial"/>
          <w:sz w:val="24"/>
          <w:szCs w:val="24"/>
          <w:lang w:val="en-US"/>
        </w:rPr>
        <w:t>Veterinary nutrition</w:t>
      </w:r>
      <w:r w:rsidR="00DB7EC7">
        <w:rPr>
          <w:rFonts w:ascii="Arial" w:hAnsi="Arial" w:cs="Arial"/>
          <w:sz w:val="24"/>
          <w:szCs w:val="24"/>
          <w:lang w:val="en-US"/>
        </w:rPr>
        <w:t>/</w:t>
      </w:r>
      <w:r w:rsidRPr="006F1DB7">
        <w:rPr>
          <w:rFonts w:ascii="Arial" w:hAnsi="Arial" w:cs="Arial"/>
          <w:sz w:val="24"/>
          <w:szCs w:val="24"/>
          <w:lang w:val="en-US"/>
        </w:rPr>
        <w:t>PUBLISHER</w:t>
      </w:r>
      <w:r w:rsidR="00DB7EC7">
        <w:rPr>
          <w:rFonts w:ascii="Arial" w:hAnsi="Arial" w:cs="Arial"/>
          <w:sz w:val="24"/>
          <w:szCs w:val="24"/>
          <w:lang w:val="en-US"/>
        </w:rPr>
        <w:t xml:space="preserve">: </w:t>
      </w:r>
      <w:r w:rsidRPr="006F1DB7">
        <w:rPr>
          <w:rFonts w:ascii="Arial" w:hAnsi="Arial" w:cs="Arial"/>
          <w:sz w:val="24"/>
          <w:szCs w:val="24"/>
          <w:lang w:val="en-US"/>
        </w:rPr>
        <w:t>Oregon State University</w:t>
      </w:r>
      <w:r w:rsidR="00DB7EC7">
        <w:rPr>
          <w:rFonts w:ascii="Arial" w:hAnsi="Arial" w:cs="Arial"/>
          <w:sz w:val="24"/>
          <w:szCs w:val="24"/>
          <w:lang w:val="en-US"/>
        </w:rPr>
        <w:t>/</w:t>
      </w:r>
      <w:r w:rsidRPr="006F1DB7">
        <w:rPr>
          <w:rFonts w:ascii="Arial" w:hAnsi="Arial" w:cs="Arial"/>
          <w:sz w:val="24"/>
          <w:szCs w:val="24"/>
          <w:lang w:val="en-US"/>
        </w:rPr>
        <w:t>PUBLICATION DATE</w:t>
      </w:r>
      <w:r w:rsidR="00DB7EC7">
        <w:rPr>
          <w:rFonts w:ascii="Arial" w:hAnsi="Arial" w:cs="Arial"/>
          <w:sz w:val="24"/>
          <w:szCs w:val="24"/>
          <w:lang w:val="en-US"/>
        </w:rPr>
        <w:t xml:space="preserve">: </w:t>
      </w:r>
      <w:r w:rsidRPr="006F1DB7">
        <w:rPr>
          <w:rFonts w:ascii="Arial" w:hAnsi="Arial" w:cs="Arial"/>
          <w:sz w:val="24"/>
          <w:szCs w:val="24"/>
          <w:lang w:val="en-US"/>
        </w:rPr>
        <w:t>April 14, 2019</w:t>
      </w:r>
      <w:r w:rsidR="00DB7EC7">
        <w:rPr>
          <w:rFonts w:ascii="Arial" w:hAnsi="Arial" w:cs="Arial"/>
          <w:sz w:val="24"/>
          <w:szCs w:val="24"/>
          <w:lang w:val="en-US"/>
        </w:rPr>
        <w:t>/</w:t>
      </w:r>
      <w:r w:rsidRPr="006F1DB7">
        <w:rPr>
          <w:rFonts w:ascii="Arial" w:hAnsi="Arial" w:cs="Arial"/>
          <w:sz w:val="24"/>
          <w:szCs w:val="24"/>
          <w:lang w:val="en-US"/>
        </w:rPr>
        <w:t>PRINT ISBN</w:t>
      </w:r>
      <w:r w:rsidR="00DB7EC7">
        <w:rPr>
          <w:rFonts w:ascii="Arial" w:hAnsi="Arial" w:cs="Arial"/>
          <w:sz w:val="24"/>
          <w:szCs w:val="24"/>
          <w:lang w:val="en-US"/>
        </w:rPr>
        <w:t xml:space="preserve"> </w:t>
      </w:r>
      <w:r w:rsidRPr="006F1DB7">
        <w:rPr>
          <w:rFonts w:ascii="Arial" w:hAnsi="Arial" w:cs="Arial"/>
          <w:sz w:val="24"/>
          <w:szCs w:val="24"/>
          <w:lang w:val="en-US"/>
        </w:rPr>
        <w:t>978-1-955101-12-7</w:t>
      </w:r>
    </w:p>
    <w:p w14:paraId="0AE0DB57" w14:textId="70FD7691" w:rsidR="006F1DB7" w:rsidRPr="00DB7EC7" w:rsidRDefault="00DB7EC7" w:rsidP="00F40280">
      <w:p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hyperlink r:id="rId4" w:history="1">
        <w:r w:rsidRPr="00DB7EC7">
          <w:rPr>
            <w:rStyle w:val="Hyperlink"/>
            <w:rFonts w:ascii="Arial" w:hAnsi="Arial" w:cs="Arial"/>
            <w:b/>
            <w:bCs/>
            <w:sz w:val="24"/>
            <w:szCs w:val="24"/>
            <w:lang w:val="en-US"/>
          </w:rPr>
          <w:t>https://open.oregonstate.education/animalnutrition/chapter/chapter-19/</w:t>
        </w:r>
      </w:hyperlink>
    </w:p>
    <w:p w14:paraId="5E78ABBF" w14:textId="46BA7C7B" w:rsidR="00DB7EC7" w:rsidRDefault="00DB7EC7" w:rsidP="00F40280">
      <w:p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B46526C" w14:textId="77777777" w:rsidR="00DB7EC7" w:rsidRPr="00DB7EC7" w:rsidRDefault="00DB7EC7" w:rsidP="00F40280">
      <w:p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81C2DE7" w14:textId="77F81710" w:rsidR="001D148A" w:rsidRPr="00F40280" w:rsidRDefault="001D148A" w:rsidP="00F40280">
      <w:pPr>
        <w:jc w:val="both"/>
        <w:rPr>
          <w:rFonts w:ascii="Arial" w:hAnsi="Arial" w:cs="Arial"/>
          <w:sz w:val="24"/>
          <w:szCs w:val="24"/>
        </w:rPr>
      </w:pPr>
      <w:r w:rsidRPr="00F40280">
        <w:rPr>
          <w:rFonts w:ascii="Arial" w:hAnsi="Arial" w:cs="Arial"/>
          <w:sz w:val="24"/>
          <w:szCs w:val="24"/>
        </w:rPr>
        <w:t>AGENDA GLOBAL PARA RE</w:t>
      </w:r>
      <w:r w:rsidR="00363767" w:rsidRPr="00F40280">
        <w:rPr>
          <w:rFonts w:ascii="Arial" w:hAnsi="Arial" w:cs="Arial"/>
          <w:sz w:val="24"/>
          <w:szCs w:val="24"/>
        </w:rPr>
        <w:t>D</w:t>
      </w:r>
      <w:r w:rsidRPr="00F40280">
        <w:rPr>
          <w:rFonts w:ascii="Arial" w:hAnsi="Arial" w:cs="Arial"/>
          <w:sz w:val="24"/>
          <w:szCs w:val="24"/>
        </w:rPr>
        <w:t>UZIR O USO DE ANTIBIÓTICOS</w:t>
      </w:r>
    </w:p>
    <w:p w14:paraId="6B32D422" w14:textId="158130FF" w:rsidR="00363767" w:rsidRPr="00363767" w:rsidRDefault="00363767" w:rsidP="00F40280">
      <w:pPr>
        <w:shd w:val="clear" w:color="auto" w:fill="FFFFFF"/>
        <w:spacing w:after="0" w:line="240" w:lineRule="auto"/>
        <w:jc w:val="both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pt-BR"/>
          <w14:ligatures w14:val="none"/>
        </w:rPr>
      </w:pPr>
      <w:r w:rsidRPr="00F40280">
        <w:rPr>
          <w:rFonts w:ascii="Arial" w:eastAsia="Times New Roman" w:hAnsi="Arial" w:cs="Arial"/>
          <w:b/>
          <w:bCs/>
          <w:kern w:val="36"/>
          <w:sz w:val="24"/>
          <w:szCs w:val="24"/>
          <w:lang w:eastAsia="pt-BR"/>
          <w14:ligatures w14:val="none"/>
        </w:rPr>
        <w:t>Aditivos alimentares (</w:t>
      </w:r>
      <w:hyperlink r:id="rId5" w:history="1">
        <w:r w:rsidRPr="00F40280">
          <w:rPr>
            <w:rStyle w:val="Hyperlink"/>
            <w:rFonts w:ascii="Arial" w:eastAsia="Times New Roman" w:hAnsi="Arial" w:cs="Arial"/>
            <w:b/>
            <w:bCs/>
            <w:color w:val="auto"/>
            <w:kern w:val="36"/>
            <w:sz w:val="24"/>
            <w:szCs w:val="24"/>
            <w:lang w:eastAsia="pt-BR"/>
            <w14:ligatures w14:val="none"/>
          </w:rPr>
          <w:t>https://food.ec.europa.eu/safety/animal-feed/feed-additives_en</w:t>
        </w:r>
      </w:hyperlink>
      <w:r w:rsidRPr="00F40280">
        <w:rPr>
          <w:rFonts w:ascii="Arial" w:eastAsia="Times New Roman" w:hAnsi="Arial" w:cs="Arial"/>
          <w:b/>
          <w:bCs/>
          <w:kern w:val="36"/>
          <w:sz w:val="24"/>
          <w:szCs w:val="24"/>
          <w:lang w:eastAsia="pt-BR"/>
          <w14:ligatures w14:val="none"/>
        </w:rPr>
        <w:t xml:space="preserve">) </w:t>
      </w:r>
      <w:proofErr w:type="spellStart"/>
      <w:r w:rsidRPr="00F40280">
        <w:rPr>
          <w:rFonts w:ascii="Arial" w:eastAsia="Times New Roman" w:hAnsi="Arial" w:cs="Arial"/>
          <w:b/>
          <w:bCs/>
          <w:kern w:val="36"/>
          <w:sz w:val="24"/>
          <w:szCs w:val="24"/>
          <w:lang w:eastAsia="pt-BR"/>
          <w14:ligatures w14:val="none"/>
        </w:rPr>
        <w:t>European</w:t>
      </w:r>
      <w:proofErr w:type="spellEnd"/>
      <w:r w:rsidRPr="00F40280">
        <w:rPr>
          <w:rFonts w:ascii="Arial" w:eastAsia="Times New Roman" w:hAnsi="Arial" w:cs="Arial"/>
          <w:b/>
          <w:bCs/>
          <w:kern w:val="36"/>
          <w:sz w:val="24"/>
          <w:szCs w:val="24"/>
          <w:lang w:eastAsia="pt-BR"/>
          <w14:ligatures w14:val="none"/>
        </w:rPr>
        <w:t xml:space="preserve"> Commission acesso: 15.03.2023</w:t>
      </w:r>
    </w:p>
    <w:p w14:paraId="1800FDD6" w14:textId="77777777" w:rsidR="00363767" w:rsidRPr="00363767" w:rsidRDefault="00363767" w:rsidP="00F40280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6376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Os aditivos para a alimentação animal são produtos utilizados na alimentação animal com o objetivo de melhorar a qualidade dos alimentos para animais e a qualidade dos alimentos de origem animal, ou para melhorar o desempenho e a saúde dos animais, por exemplo, proporcionando uma maior digestibilidade das matérias-primas para alimentação animal. Os aditivos para a alimentação animal só podem ser colocados no mercado se tiver sido concedida uma autorização na sequência de uma avaliação científica que demonstre que o aditivo não tem efeitos nocivos para a saúde humana e animal e para o ambiente.</w:t>
      </w:r>
    </w:p>
    <w:p w14:paraId="48AD859C" w14:textId="77777777" w:rsidR="005B6212" w:rsidRPr="00F40280" w:rsidRDefault="005B6212" w:rsidP="00F40280">
      <w:pPr>
        <w:jc w:val="both"/>
        <w:rPr>
          <w:rFonts w:ascii="Arial" w:hAnsi="Arial" w:cs="Arial"/>
          <w:sz w:val="24"/>
          <w:szCs w:val="24"/>
        </w:rPr>
      </w:pPr>
    </w:p>
    <w:p w14:paraId="11866874" w14:textId="4A9F928C" w:rsidR="005B6212" w:rsidRDefault="005B6212" w:rsidP="00F40280">
      <w:pPr>
        <w:jc w:val="both"/>
        <w:rPr>
          <w:rFonts w:ascii="Arial" w:hAnsi="Arial" w:cs="Arial"/>
          <w:sz w:val="24"/>
          <w:szCs w:val="24"/>
        </w:rPr>
      </w:pPr>
      <w:r w:rsidRPr="00F40280">
        <w:rPr>
          <w:rFonts w:ascii="Arial" w:hAnsi="Arial" w:cs="Arial"/>
          <w:sz w:val="24"/>
          <w:szCs w:val="24"/>
        </w:rPr>
        <w:t xml:space="preserve">A suplementação dietética com óleos essenciais </w:t>
      </w:r>
      <w:r w:rsidRPr="00F40280">
        <w:rPr>
          <w:rFonts w:ascii="Arial" w:hAnsi="Arial" w:cs="Arial"/>
          <w:b/>
          <w:bCs/>
          <w:sz w:val="24"/>
          <w:szCs w:val="24"/>
        </w:rPr>
        <w:t>pode melhorar o desempenho</w:t>
      </w:r>
      <w:r w:rsidRPr="00F40280">
        <w:rPr>
          <w:rFonts w:ascii="Arial" w:hAnsi="Arial" w:cs="Arial"/>
          <w:sz w:val="24"/>
          <w:szCs w:val="24"/>
        </w:rPr>
        <w:t xml:space="preserve"> e reduzir a diarreia de leitões desmamados de forma dependente da dosagem (ou seja, 300 g/tonelada a 1000 g/tonelada). Os efeitos positivos dos óleos essenciais no crescimento dos suínos e no controle da </w:t>
      </w:r>
      <w:r w:rsidR="00F40280" w:rsidRPr="00F40280">
        <w:rPr>
          <w:rFonts w:ascii="Arial" w:hAnsi="Arial" w:cs="Arial"/>
          <w:sz w:val="24"/>
          <w:szCs w:val="24"/>
        </w:rPr>
        <w:t>diarreia</w:t>
      </w:r>
      <w:r w:rsidRPr="00F40280">
        <w:rPr>
          <w:rFonts w:ascii="Arial" w:hAnsi="Arial" w:cs="Arial"/>
          <w:sz w:val="24"/>
          <w:szCs w:val="24"/>
        </w:rPr>
        <w:t xml:space="preserve"> podem ser ainda mais aprimorados com a inclusão de probióticos Bacillus. Essas descobertas fornecem uma base para a aplicação de compostos fitogênicos e probióticos como alternativas antibióticas promotoras de crescimento em rações.</w:t>
      </w:r>
    </w:p>
    <w:p w14:paraId="66C5D5A1" w14:textId="4EA17A59" w:rsidR="00F40280" w:rsidRDefault="00F40280" w:rsidP="00F40280">
      <w:pPr>
        <w:jc w:val="both"/>
        <w:rPr>
          <w:rFonts w:ascii="Arial" w:hAnsi="Arial" w:cs="Arial"/>
          <w:sz w:val="24"/>
          <w:szCs w:val="24"/>
        </w:rPr>
      </w:pPr>
    </w:p>
    <w:p w14:paraId="23DF81A6" w14:textId="30A95D4D" w:rsidR="00F40280" w:rsidRDefault="00F40280" w:rsidP="00F4028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hyperlink r:id="rId6" w:history="1">
        <w:r w:rsidR="00DF352C" w:rsidRPr="00B572AC">
          <w:rPr>
            <w:rStyle w:val="Hyperlink"/>
            <w:rFonts w:ascii="Arial" w:hAnsi="Arial" w:cs="Arial"/>
            <w:sz w:val="24"/>
            <w:szCs w:val="24"/>
          </w:rPr>
          <w:t>https://www.food.gov.uk/business-guidance/animal-feed-additives</w:t>
        </w:r>
      </w:hyperlink>
    </w:p>
    <w:p w14:paraId="0F633739" w14:textId="6C6D2A43" w:rsidR="00DF352C" w:rsidRDefault="00DF352C" w:rsidP="00F40280">
      <w:pPr>
        <w:jc w:val="both"/>
        <w:rPr>
          <w:rFonts w:ascii="Arial" w:hAnsi="Arial" w:cs="Arial"/>
          <w:sz w:val="24"/>
          <w:szCs w:val="24"/>
        </w:rPr>
      </w:pPr>
    </w:p>
    <w:p w14:paraId="32FB3DA2" w14:textId="18CC247D" w:rsidR="00DF352C" w:rsidRDefault="00DF352C" w:rsidP="00F40280">
      <w:pPr>
        <w:jc w:val="both"/>
        <w:rPr>
          <w:rFonts w:ascii="Arial" w:hAnsi="Arial" w:cs="Arial"/>
          <w:sz w:val="24"/>
          <w:szCs w:val="24"/>
        </w:rPr>
      </w:pPr>
    </w:p>
    <w:p w14:paraId="6AA09671" w14:textId="77777777" w:rsidR="00DF352C" w:rsidRDefault="00DF352C" w:rsidP="00F40280">
      <w:pPr>
        <w:jc w:val="both"/>
        <w:rPr>
          <w:rFonts w:ascii="Arial" w:hAnsi="Arial" w:cs="Arial"/>
          <w:sz w:val="24"/>
          <w:szCs w:val="24"/>
        </w:rPr>
      </w:pPr>
    </w:p>
    <w:p w14:paraId="65FBA293" w14:textId="68261A4F" w:rsidR="00DF352C" w:rsidRDefault="00DF352C" w:rsidP="00DF352C">
      <w:pPr>
        <w:pStyle w:val="Ttulo2"/>
        <w:ind w:left="75"/>
        <w:rPr>
          <w:rFonts w:ascii="Verdana" w:hAnsi="Verdana"/>
          <w:color w:val="CC3300"/>
        </w:rPr>
      </w:pPr>
      <w:hyperlink r:id="rId7" w:history="1">
        <w:r w:rsidRPr="00B572AC">
          <w:rPr>
            <w:rStyle w:val="Hyperlink"/>
            <w:rFonts w:ascii="Verdana" w:hAnsi="Verdana"/>
          </w:rPr>
          <w:t>https://courses.ecampus.oregonstate.edu/ans312/five/intro_add_trans.htm</w:t>
        </w:r>
      </w:hyperlink>
    </w:p>
    <w:p w14:paraId="613AC630" w14:textId="77777777" w:rsidR="00DF352C" w:rsidRPr="00DF352C" w:rsidRDefault="00DF352C" w:rsidP="00DF352C"/>
    <w:p w14:paraId="5E1F9146" w14:textId="396B5729" w:rsidR="00DF352C" w:rsidRDefault="00DF352C" w:rsidP="00DF352C">
      <w:pPr>
        <w:pStyle w:val="Ttulo2"/>
        <w:ind w:left="75"/>
        <w:rPr>
          <w:rFonts w:ascii="Verdana" w:hAnsi="Verdana"/>
          <w:color w:val="CC3300"/>
        </w:rPr>
      </w:pPr>
      <w:r>
        <w:rPr>
          <w:rFonts w:ascii="Verdana" w:hAnsi="Verdana"/>
          <w:color w:val="CC3300"/>
        </w:rPr>
        <w:t>Introdução aos aditivos para rações</w:t>
      </w:r>
    </w:p>
    <w:p w14:paraId="7C1508D6" w14:textId="5DFEC9D2" w:rsidR="00DF352C" w:rsidRDefault="00DF352C" w:rsidP="00DF352C">
      <w:pPr>
        <w:pStyle w:val="NormalWeb"/>
        <w:ind w:left="7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Os aditivos para alimentação animal são produtos não nutritivos adicionados às rações para melhorar a eficiência da produção animal através de uma melhoria da ingestão, da digestão, e/ou a eficiência do metabolismo e/ou a saúde do animal. Aditivos para a alimentação animal podem também ser adicionados aos alimentos para animais para melhorar o fabrico e/ou as propriedades dos alimentos para animais ou para melhorar a aceitação de um produto por parte dos consumidores. Aditivos para a alimentação animal são adicionados à ração em pequenas quantidades. Aditivos alimentares são utilizados extensivamente na produção animal comercial. Os aditivos para a alimentação animal foram </w:t>
      </w:r>
      <w:r>
        <w:rPr>
          <w:rFonts w:ascii="Verdana" w:hAnsi="Verdana"/>
          <w:color w:val="000000"/>
          <w:sz w:val="20"/>
          <w:szCs w:val="20"/>
        </w:rPr>
        <w:t>benéficos</w:t>
      </w:r>
      <w:r>
        <w:rPr>
          <w:rFonts w:ascii="Verdana" w:hAnsi="Verdana"/>
          <w:color w:val="000000"/>
          <w:sz w:val="20"/>
          <w:szCs w:val="20"/>
        </w:rPr>
        <w:t xml:space="preserve"> dentro da produção animal moderna, permitindo que os produtores forneçam produtos animais seguros, saudáveis e rentáveis para os consumidores. Nos últimos anos, as agências reguladoras e os órgãos legislativos começaram a restringir a alimentação de aditivos específicos por várias razões declaradas. Durante um produtor, determinando a utilização de um aditivo para a alimentação animal requer consideração para </w:t>
      </w:r>
      <w:r>
        <w:rPr>
          <w:rFonts w:ascii="Verdana" w:hAnsi="Verdana"/>
          <w:color w:val="000000"/>
          <w:sz w:val="20"/>
          <w:szCs w:val="20"/>
        </w:rPr>
        <w:t>fatores</w:t>
      </w:r>
      <w:r>
        <w:rPr>
          <w:rFonts w:ascii="Verdana" w:hAnsi="Verdana"/>
          <w:color w:val="000000"/>
          <w:sz w:val="20"/>
          <w:szCs w:val="20"/>
        </w:rPr>
        <w:t xml:space="preserve"> como as necessidades específicas do animal, os efeitos de outros componentes da ração, presença de um intervalo de segurança, efeito de um intervalo de segurança, forma de aditivo para a alimentação animal e relação custo-eficácia </w:t>
      </w:r>
      <w:r>
        <w:rPr>
          <w:rFonts w:ascii="Verdana" w:hAnsi="Verdana"/>
          <w:color w:val="000000"/>
          <w:sz w:val="20"/>
          <w:szCs w:val="20"/>
        </w:rPr>
        <w:t>d</w:t>
      </w:r>
      <w:r>
        <w:rPr>
          <w:rFonts w:ascii="Verdana" w:hAnsi="Verdana"/>
          <w:color w:val="000000"/>
          <w:sz w:val="20"/>
          <w:szCs w:val="20"/>
        </w:rPr>
        <w:t>o aditivo para a alimentação animal.</w:t>
      </w:r>
    </w:p>
    <w:p w14:paraId="7F7D22E6" w14:textId="62997822" w:rsidR="00DF352C" w:rsidRDefault="00DF352C" w:rsidP="00DF352C">
      <w:pPr>
        <w:pStyle w:val="NormalWeb"/>
        <w:ind w:left="7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br/>
        <w:t xml:space="preserve">Nos EUA, muitos dos aditivos alimentares alimentados a animais de produção são classificados como drogas. Conforme definido pela FDA, uma droga é "uma substância, a) destinados a ser utilizados no diagnóstico, cura, mitigação, tratamento ou prevenção de uma doença no homem ou noutros animais ou b) uma substância que não seja um género alimentício destinados a </w:t>
      </w:r>
      <w:r>
        <w:rPr>
          <w:rFonts w:ascii="Verdana" w:hAnsi="Verdana"/>
          <w:color w:val="000000"/>
          <w:sz w:val="20"/>
          <w:szCs w:val="20"/>
        </w:rPr>
        <w:t>afetar</w:t>
      </w:r>
      <w:r>
        <w:rPr>
          <w:rFonts w:ascii="Verdana" w:hAnsi="Verdana"/>
          <w:color w:val="000000"/>
          <w:sz w:val="20"/>
          <w:szCs w:val="20"/>
        </w:rPr>
        <w:t xml:space="preserve"> a estrutura ou qualquer função do corpo do homem ou outros animais." Nos EUA, a FDA regula os aditivos alimentares classificados como drogas. Inicialmente, a FDA deve aprovar os aditivos. Para aprovação, o FDA é obrigado a estabelecer que a droga é segura e eficaz para um espécies específicas e seguras para os seres humanos e para o ambiente. A FDA deve estabelecer também as especificações químicas e de fabrico específicas. A aprovação da FDA requer uma extensa pesquisa do composto. Subsequente a aprovação, a FDA continua a regular o uso real do aditivo; monitoramento da rotulagem e alimentação de aditivos classificados como medicamentos e A segurança dos produtos de origem animal. A comercialização de um medicamento é permitida após aprovação de um novo pedido de medicamento para animais.</w:t>
      </w:r>
    </w:p>
    <w:p w14:paraId="15BE1375" w14:textId="143CE72B" w:rsidR="00DF352C" w:rsidRDefault="00DF352C" w:rsidP="00DF352C">
      <w:pPr>
        <w:pStyle w:val="NormalWeb"/>
        <w:ind w:left="7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br/>
        <w:t>Medicamentos para animais em rações medicamentosas são classificados como Categoria I ou Categoria II drogas. A categoria I é a mais segura. Categoria I não requer retirada período. A categoria II exige um intervalo de segurança ao nível de utilização mais baixo de pelo menos uma espécie ou é regulada numa base sem resíduos, independentemente da exigência de um intervalo de segurança. Quadro 9-1 na página 181 do o texto lista os medicamentos das categorias I e II.</w:t>
      </w:r>
    </w:p>
    <w:p w14:paraId="37FD3530" w14:textId="77777777" w:rsidR="00DF352C" w:rsidRDefault="00DF352C" w:rsidP="00DF352C">
      <w:pPr>
        <w:pStyle w:val="NormalWeb"/>
        <w:ind w:left="7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br/>
        <w:t xml:space="preserve">Os produtos medicamentosos também são categorizados como Tipo A, Tipo B ou Tipo C. Os produtos medicamentosos do tipo A são pré-misturas concentradas do produto. Tipo Um produto medicamentoso é adicionado ao(s) alimento(s) </w:t>
      </w:r>
      <w:r>
        <w:rPr>
          <w:rFonts w:ascii="Verdana" w:hAnsi="Verdana"/>
          <w:color w:val="000000"/>
          <w:sz w:val="20"/>
          <w:szCs w:val="20"/>
        </w:rPr>
        <w:lastRenderedPageBreak/>
        <w:t>adicional(</w:t>
      </w:r>
      <w:proofErr w:type="spellStart"/>
      <w:r>
        <w:rPr>
          <w:rFonts w:ascii="Verdana" w:hAnsi="Verdana"/>
          <w:color w:val="000000"/>
          <w:sz w:val="20"/>
          <w:szCs w:val="20"/>
        </w:rPr>
        <w:t>is</w:t>
      </w:r>
      <w:proofErr w:type="spellEnd"/>
      <w:r>
        <w:rPr>
          <w:rFonts w:ascii="Verdana" w:hAnsi="Verdana"/>
          <w:color w:val="000000"/>
          <w:sz w:val="20"/>
          <w:szCs w:val="20"/>
        </w:rPr>
        <w:t>) antes da alimentação. Os produtos medicamentosos do tipo B são também adicionados ao(s) alimento(s) adicional(</w:t>
      </w:r>
      <w:proofErr w:type="spellStart"/>
      <w:r>
        <w:rPr>
          <w:rFonts w:ascii="Verdana" w:hAnsi="Verdana"/>
          <w:color w:val="000000"/>
          <w:sz w:val="20"/>
          <w:szCs w:val="20"/>
        </w:rPr>
        <w:t>is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) antes à alimentação. Em comparação com os produtos medicamentosos do tipo A, a concentração da droga é menor em produtos medicamentosos do tipo B. Produtos medicamentosos do tipo C são preparados para alimentação. os produtos medicamentosos do tipo C podem ser alimentados como alimento completo, vestido de topo, ou oferecido </w:t>
      </w:r>
      <w:proofErr w:type="spellStart"/>
      <w:r>
        <w:rPr>
          <w:rFonts w:ascii="Verdana" w:hAnsi="Verdana"/>
          <w:color w:val="000000"/>
          <w:sz w:val="20"/>
          <w:szCs w:val="20"/>
        </w:rPr>
        <w:t>ad-libitum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para animais. Produtos medicamentosos do tipo C são consistentes com as especificações aprovadas pela FDA.</w:t>
      </w:r>
    </w:p>
    <w:p w14:paraId="07EE496F" w14:textId="55168808" w:rsidR="00DF352C" w:rsidRDefault="00DF352C" w:rsidP="00DF352C">
      <w:pPr>
        <w:pStyle w:val="NormalWeb"/>
        <w:ind w:left="7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br/>
        <w:t xml:space="preserve">Os misturadores de ração comercial que misturam produtos medicamentosos da categoria II, tipo A, são </w:t>
      </w:r>
      <w:r>
        <w:rPr>
          <w:rFonts w:ascii="Verdana" w:hAnsi="Verdana"/>
          <w:color w:val="000000"/>
          <w:sz w:val="20"/>
          <w:szCs w:val="20"/>
        </w:rPr>
        <w:t>necessários</w:t>
      </w:r>
      <w:r>
        <w:rPr>
          <w:rFonts w:ascii="Verdana" w:hAnsi="Verdana"/>
          <w:color w:val="000000"/>
          <w:sz w:val="20"/>
          <w:szCs w:val="20"/>
        </w:rPr>
        <w:t xml:space="preserve"> para se registrar no FDA. Misturadores de ração comercial Categoria Os medicamentos I ou produtos medicamentosos da Categoria II, Tipo B não são obrigados a Registro. Indivíduos que preparam produtos medicamentosos para animais pessoais estão sujeitos aos mesmos requisitos de registo que os misturadores comerciais.</w:t>
      </w:r>
    </w:p>
    <w:p w14:paraId="5B83D661" w14:textId="77777777" w:rsidR="00DF352C" w:rsidRDefault="00DF352C" w:rsidP="00DF352C">
      <w:pPr>
        <w:pStyle w:val="NormalWeb"/>
        <w:ind w:left="7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br/>
        <w:t>Além de compostos classificados como drogas, numerosos aditivos adicionais são utilizados em rações animais. Tabela 9-5 na página 191-192 do texto fornece informações sobre aditivos adicionais para fins especiais. Como estes compostos não são classificados como drogas, o FDA não regula os compostos no nível da fábrica de ração. No entanto, os fabricantes de alimentos para animais são espera-se que os aditivos sejam utilizados conforme as instruções.</w:t>
      </w:r>
    </w:p>
    <w:p w14:paraId="6BC423C6" w14:textId="77777777" w:rsidR="00DF352C" w:rsidRDefault="00DF352C" w:rsidP="00DF352C">
      <w:pPr>
        <w:pStyle w:val="NormalWeb"/>
        <w:ind w:left="7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br/>
        <w:t>As próximas seções discutirão vários aditivos alimentares em rações animais. As seções não fornecerão uma lista completa de aditivos para a alimentação animal. em rações animais.</w:t>
      </w:r>
    </w:p>
    <w:p w14:paraId="7E9EF4C4" w14:textId="77777777" w:rsidR="00DF352C" w:rsidRPr="00F40280" w:rsidRDefault="00DF352C" w:rsidP="00F40280">
      <w:pPr>
        <w:jc w:val="both"/>
        <w:rPr>
          <w:rFonts w:ascii="Arial" w:hAnsi="Arial" w:cs="Arial"/>
          <w:sz w:val="24"/>
          <w:szCs w:val="24"/>
        </w:rPr>
      </w:pPr>
    </w:p>
    <w:sectPr w:rsidR="00DF352C" w:rsidRPr="00F402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212"/>
    <w:rsid w:val="001D148A"/>
    <w:rsid w:val="00363767"/>
    <w:rsid w:val="00591EFA"/>
    <w:rsid w:val="005B6212"/>
    <w:rsid w:val="00607C47"/>
    <w:rsid w:val="006F1DB7"/>
    <w:rsid w:val="00DB7EC7"/>
    <w:rsid w:val="00DF352C"/>
    <w:rsid w:val="00F40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BEF72"/>
  <w15:chartTrackingRefBased/>
  <w15:docId w15:val="{91482DC1-6457-4272-B97F-0D2E52306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637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F35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6376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637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36376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63767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F35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9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6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454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114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32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960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199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ourses.ecampus.oregonstate.edu/ans312/five/intro_add_trans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ood.gov.uk/business-guidance/animal-feed-additives" TargetMode="External"/><Relationship Id="rId5" Type="http://schemas.openxmlformats.org/officeDocument/2006/relationships/hyperlink" Target="https://food.ec.europa.eu/safety/animal-feed/feed-additives_en" TargetMode="External"/><Relationship Id="rId4" Type="http://schemas.openxmlformats.org/officeDocument/2006/relationships/hyperlink" Target="https://open.oregonstate.education/animalnutrition/chapter/chapter-19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1152</Words>
  <Characters>6221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Simara Sá Costa</dc:creator>
  <cp:keywords/>
  <dc:description/>
  <cp:lastModifiedBy>Simara Sá Costa</cp:lastModifiedBy>
  <cp:revision>4</cp:revision>
  <dcterms:created xsi:type="dcterms:W3CDTF">2023-03-14T20:21:00Z</dcterms:created>
  <dcterms:modified xsi:type="dcterms:W3CDTF">2023-03-15T17:05:00Z</dcterms:modified>
</cp:coreProperties>
</file>