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D9A83" w14:textId="77777777" w:rsidR="00607291" w:rsidRDefault="0000000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EXECUTIVE SUMMARY REPORT</w:t>
      </w:r>
    </w:p>
    <w:p w14:paraId="432D9A84" w14:textId="6B2F2E42" w:rsidR="00607291" w:rsidRPr="00663E01" w:rsidRDefault="00000000">
      <w:pPr>
        <w:spacing w:after="40"/>
        <w:jc w:val="center"/>
        <w:rPr>
          <w:b/>
          <w:bCs/>
          <w:color w:val="000000" w:themeColor="text1"/>
          <w:sz w:val="24"/>
          <w:szCs w:val="24"/>
        </w:rPr>
      </w:pPr>
      <w:r w:rsidRPr="00663E01">
        <w:rPr>
          <w:b/>
          <w:bCs/>
          <w:i/>
          <w:iCs/>
          <w:color w:val="000000" w:themeColor="text1"/>
          <w:sz w:val="24"/>
          <w:szCs w:val="24"/>
        </w:rPr>
        <w:t>Global Superstore Sales, Profitability &amp; Regional Performance Dashboard</w:t>
      </w:r>
    </w:p>
    <w:p w14:paraId="432D9A85" w14:textId="08F2FFAF" w:rsidR="00607291" w:rsidRPr="00663E01" w:rsidRDefault="00000000">
      <w:pPr>
        <w:spacing w:after="260"/>
        <w:jc w:val="center"/>
        <w:rPr>
          <w:b/>
          <w:bCs/>
          <w:color w:val="000000" w:themeColor="text1"/>
          <w:sz w:val="24"/>
          <w:szCs w:val="24"/>
        </w:rPr>
      </w:pPr>
      <w:r w:rsidRPr="00663E01">
        <w:rPr>
          <w:b/>
          <w:bCs/>
          <w:color w:val="000000" w:themeColor="text1"/>
          <w:sz w:val="24"/>
          <w:szCs w:val="24"/>
        </w:rPr>
        <w:t>Prepared by:</w:t>
      </w:r>
      <w:r w:rsidR="00486890" w:rsidRPr="00663E01">
        <w:rPr>
          <w:b/>
          <w:bCs/>
          <w:color w:val="000000" w:themeColor="text1"/>
          <w:sz w:val="24"/>
          <w:szCs w:val="24"/>
        </w:rPr>
        <w:t xml:space="preserve"> Simbarashe Mandiveyi</w:t>
      </w:r>
      <w:r w:rsidR="00F83281" w:rsidRPr="00663E01">
        <w:rPr>
          <w:b/>
          <w:bCs/>
          <w:color w:val="000000" w:themeColor="text1"/>
          <w:sz w:val="24"/>
          <w:szCs w:val="24"/>
        </w:rPr>
        <w:t xml:space="preserve"> - </w:t>
      </w:r>
      <w:r w:rsidRPr="00663E01">
        <w:rPr>
          <w:b/>
          <w:bCs/>
          <w:color w:val="000000" w:themeColor="text1"/>
          <w:sz w:val="24"/>
          <w:szCs w:val="24"/>
        </w:rPr>
        <w:t>Junior Business Intelligence Analyst | AnalystLab Africa Consulting | Week 2 Project</w:t>
      </w:r>
    </w:p>
    <w:p w14:paraId="432D9A86" w14:textId="77777777" w:rsidR="00607291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Dashboard Snapshot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2006"/>
        <w:gridCol w:w="1967"/>
        <w:gridCol w:w="2011"/>
        <w:gridCol w:w="1967"/>
      </w:tblGrid>
      <w:tr w:rsidR="00607291" w14:paraId="432D9A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2D9A87" w14:textId="77777777" w:rsidR="00607291" w:rsidRPr="007B7784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7B7784">
              <w:rPr>
                <w:b/>
                <w:bCs/>
                <w:color w:val="000000" w:themeColor="text1"/>
                <w:sz w:val="26"/>
                <w:szCs w:val="26"/>
              </w:rPr>
              <w:t>$12.64M</w:t>
            </w:r>
          </w:p>
          <w:p w14:paraId="432D9A88" w14:textId="77777777" w:rsidR="00607291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Total Sales</w:t>
            </w:r>
          </w:p>
        </w:tc>
        <w:tc>
          <w:tcPr>
            <w:tcW w:w="2500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2D9A89" w14:textId="77777777" w:rsidR="00607291" w:rsidRPr="007B7784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7B7784">
              <w:rPr>
                <w:b/>
                <w:bCs/>
                <w:color w:val="000000" w:themeColor="text1"/>
                <w:sz w:val="26"/>
                <w:szCs w:val="26"/>
              </w:rPr>
              <w:t>$1.47M</w:t>
            </w:r>
          </w:p>
          <w:p w14:paraId="432D9A8A" w14:textId="77777777" w:rsidR="00607291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Total Profit</w:t>
            </w:r>
          </w:p>
        </w:tc>
        <w:tc>
          <w:tcPr>
            <w:tcW w:w="2500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2D9A8B" w14:textId="77777777" w:rsidR="00607291" w:rsidRPr="007B7784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7B7784">
              <w:rPr>
                <w:b/>
                <w:bCs/>
                <w:color w:val="000000" w:themeColor="text1"/>
                <w:sz w:val="26"/>
                <w:szCs w:val="26"/>
              </w:rPr>
              <w:t>25,035</w:t>
            </w:r>
          </w:p>
          <w:p w14:paraId="432D9A8C" w14:textId="77777777" w:rsidR="00607291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Total Orders</w:t>
            </w:r>
          </w:p>
        </w:tc>
        <w:tc>
          <w:tcPr>
            <w:tcW w:w="2500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2D9A8D" w14:textId="77777777" w:rsidR="00607291" w:rsidRPr="007B7784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7B7784">
              <w:rPr>
                <w:b/>
                <w:bCs/>
                <w:color w:val="000000" w:themeColor="text1"/>
                <w:sz w:val="26"/>
                <w:szCs w:val="26"/>
              </w:rPr>
              <w:t>$246.49</w:t>
            </w:r>
          </w:p>
          <w:p w14:paraId="432D9A8E" w14:textId="77777777" w:rsidR="00607291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Avg. Sales</w:t>
            </w:r>
          </w:p>
        </w:tc>
        <w:tc>
          <w:tcPr>
            <w:tcW w:w="2500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2D9A8F" w14:textId="77777777" w:rsidR="00607291" w:rsidRPr="007B7784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7B7784">
              <w:rPr>
                <w:b/>
                <w:bCs/>
                <w:color w:val="000000" w:themeColor="text1"/>
                <w:sz w:val="26"/>
                <w:szCs w:val="26"/>
              </w:rPr>
              <w:t>11.6%</w:t>
            </w:r>
          </w:p>
          <w:p w14:paraId="432D9A90" w14:textId="77777777" w:rsidR="00607291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Profit Margin</w:t>
            </w:r>
          </w:p>
        </w:tc>
      </w:tr>
    </w:tbl>
    <w:p w14:paraId="432D9A92" w14:textId="77777777" w:rsidR="00607291" w:rsidRDefault="00607291">
      <w:pPr>
        <w:spacing w:after="200"/>
      </w:pPr>
    </w:p>
    <w:p w14:paraId="0845BC79" w14:textId="77777777" w:rsidR="00607291" w:rsidRDefault="00000000" w:rsidP="00152558">
      <w:pPr>
        <w:pStyle w:val="Heading1"/>
        <w:spacing w:before="260" w:after="120"/>
      </w:pPr>
      <w:r>
        <w:rPr>
          <w:b/>
          <w:bCs/>
          <w:color w:val="1F3864"/>
          <w:sz w:val="26"/>
          <w:szCs w:val="26"/>
        </w:rPr>
        <w:t>Overview</w:t>
      </w:r>
    </w:p>
    <w:p w14:paraId="3116BD36" w14:textId="77777777" w:rsidR="00607291" w:rsidRDefault="00000000">
      <w:pPr>
        <w:spacing w:after="140" w:line="266" w:lineRule="auto"/>
        <w:jc w:val="both"/>
      </w:pPr>
      <w:r w:rsidRPr="00066540">
        <w:rPr>
          <w:color w:val="000000"/>
          <w:sz w:val="21"/>
          <w:szCs w:val="21"/>
        </w:rPr>
        <w:t>This report summarises the key findings from the Power BI executive dashboard built on the Global Superstore dataset (51,290 order records across 13 regions and 3 product categories, 2011–2014). The dashboard was designed to help management monitor sales performance, profitability, customer behaviour, and regional performance, and to surface actionable insights for improving business results.</w:t>
      </w:r>
    </w:p>
    <w:p w14:paraId="5786780A" w14:textId="77777777" w:rsidR="00607291" w:rsidRDefault="00000000" w:rsidP="002739E5">
      <w:pPr>
        <w:pStyle w:val="Heading1"/>
        <w:spacing w:before="260" w:after="120"/>
      </w:pPr>
      <w:r>
        <w:rPr>
          <w:b/>
          <w:bCs/>
          <w:color w:val="1F3864"/>
          <w:sz w:val="26"/>
          <w:szCs w:val="26"/>
        </w:rPr>
        <w:t>Five Key Business Insights</w:t>
      </w:r>
    </w:p>
    <w:p w14:paraId="08B7BF0B" w14:textId="77777777" w:rsidR="00607291" w:rsidRDefault="00000000">
      <w:pPr>
        <w:spacing w:after="140" w:line="266" w:lineRule="auto"/>
        <w:jc w:val="both"/>
      </w:pPr>
      <w:r w:rsidRPr="00310795">
        <w:rPr>
          <w:b/>
          <w:color w:val="000000"/>
          <w:sz w:val="21"/>
          <w:szCs w:val="21"/>
        </w:rPr>
        <w:t>1. Profitable overall, but margins are thin relative to sales volume.</w:t>
      </w:r>
      <w:r w:rsidRPr="00310795">
        <w:rPr>
          <w:color w:val="000000"/>
          <w:sz w:val="21"/>
          <w:szCs w:val="21"/>
        </w:rPr>
        <w:t xml:space="preserve"> Total Sales reached $12.64M against Total Profit of $1.47M, an overall profit margin of only 11.6%.</w:t>
      </w:r>
    </w:p>
    <w:p w14:paraId="7D0858B7" w14:textId="7CD99CBE" w:rsidR="00607291" w:rsidRDefault="00000000">
      <w:pPr>
        <w:spacing w:after="180"/>
        <w:ind w:left="200"/>
      </w:pPr>
      <w:r w:rsidRPr="00DB2364">
        <w:rPr>
          <w:i/>
          <w:color w:val="000000"/>
          <w:sz w:val="19"/>
          <w:szCs w:val="19"/>
        </w:rPr>
        <w:t xml:space="preserve">Evidence: KPI cards </w:t>
      </w:r>
      <w:r w:rsidR="00C27837">
        <w:rPr>
          <w:i/>
          <w:color w:val="000000"/>
          <w:sz w:val="19"/>
          <w:szCs w:val="19"/>
        </w:rPr>
        <w:t>showing</w:t>
      </w:r>
      <w:r w:rsidRPr="00DB2364">
        <w:rPr>
          <w:i/>
          <w:color w:val="000000"/>
          <w:sz w:val="19"/>
          <w:szCs w:val="19"/>
        </w:rPr>
        <w:t xml:space="preserve"> Total Sales, Total Profit, Profit Margin.</w:t>
      </w:r>
    </w:p>
    <w:p w14:paraId="2FF76820" w14:textId="77777777" w:rsidR="00607291" w:rsidRDefault="00000000">
      <w:pPr>
        <w:spacing w:after="140" w:line="266" w:lineRule="auto"/>
        <w:jc w:val="both"/>
      </w:pPr>
      <w:r w:rsidRPr="0079434B">
        <w:rPr>
          <w:b/>
          <w:color w:val="000000"/>
          <w:sz w:val="21"/>
          <w:szCs w:val="21"/>
        </w:rPr>
        <w:t>2. Central and South regions drive the most sales, but margin leaders are elsewhere.</w:t>
      </w:r>
      <w:r w:rsidRPr="0079434B">
        <w:rPr>
          <w:color w:val="000000"/>
          <w:sz w:val="21"/>
          <w:szCs w:val="21"/>
        </w:rPr>
        <w:t xml:space="preserve"> Central ($2.82M) and South ($1.60M) generate the highest sales, while Canada (26.6%) and North Asia (19.5%) post the strongest profit margins despite far lower sales volume. Southeast Asia sells $884K but returns only a 2.0% margin.</w:t>
      </w:r>
    </w:p>
    <w:p w14:paraId="5D9C81CD" w14:textId="5F888EB8" w:rsidR="00607291" w:rsidRDefault="00000000">
      <w:pPr>
        <w:spacing w:after="180"/>
        <w:ind w:left="200"/>
      </w:pPr>
      <w:r w:rsidRPr="006C0CF6">
        <w:rPr>
          <w:i/>
          <w:color w:val="000000"/>
          <w:sz w:val="19"/>
          <w:szCs w:val="19"/>
        </w:rPr>
        <w:t>Evidence: "Sales by Region" and "Profit by Region" bar charts.</w:t>
      </w:r>
      <w:r w:rsidR="00637440">
        <w:rPr>
          <w:i/>
          <w:color w:val="000000"/>
          <w:sz w:val="19"/>
          <w:szCs w:val="19"/>
        </w:rPr>
        <w:t xml:space="preserve"> </w:t>
      </w:r>
      <w:r w:rsidR="001062B9">
        <w:rPr>
          <w:i/>
          <w:color w:val="000000"/>
          <w:sz w:val="19"/>
          <w:szCs w:val="19"/>
        </w:rPr>
        <w:t>Drop down on region to check profit margin</w:t>
      </w:r>
      <w:r w:rsidR="00EA2A99">
        <w:rPr>
          <w:i/>
          <w:color w:val="000000"/>
          <w:sz w:val="19"/>
          <w:szCs w:val="19"/>
        </w:rPr>
        <w:t>s.</w:t>
      </w:r>
    </w:p>
    <w:p w14:paraId="1A09898B" w14:textId="77777777" w:rsidR="00607291" w:rsidRDefault="00000000">
      <w:pPr>
        <w:spacing w:after="140" w:line="266" w:lineRule="auto"/>
        <w:jc w:val="both"/>
      </w:pPr>
      <w:r w:rsidRPr="008F2294">
        <w:rPr>
          <w:b/>
          <w:color w:val="000000"/>
          <w:sz w:val="21"/>
          <w:szCs w:val="21"/>
        </w:rPr>
        <w:t>3. The Consumer segment dominates revenue, but all segments earn similar margins.</w:t>
      </w:r>
      <w:r w:rsidRPr="008F2294">
        <w:rPr>
          <w:color w:val="000000"/>
          <w:sz w:val="21"/>
          <w:szCs w:val="21"/>
        </w:rPr>
        <w:t xml:space="preserve"> Consumer contributes 51.5% of total sales ($6.51M), more than Corporate (30.3%) and Home Office (18.3%) combined, yet margin is nearly identical across all three segments (11.5%–12.0%).</w:t>
      </w:r>
    </w:p>
    <w:p w14:paraId="280F8988" w14:textId="77777777" w:rsidR="00607291" w:rsidRDefault="00000000">
      <w:pPr>
        <w:spacing w:after="180"/>
        <w:ind w:left="200"/>
      </w:pPr>
      <w:r w:rsidRPr="008A7CE8">
        <w:rPr>
          <w:i/>
          <w:color w:val="000000"/>
          <w:sz w:val="19"/>
          <w:szCs w:val="19"/>
        </w:rPr>
        <w:t>Evidence: "Sales by Segment" donut chart.</w:t>
      </w:r>
    </w:p>
    <w:p w14:paraId="308856B1" w14:textId="77777777" w:rsidR="00607291" w:rsidRDefault="00000000">
      <w:pPr>
        <w:spacing w:after="140" w:line="266" w:lineRule="auto"/>
        <w:jc w:val="both"/>
      </w:pPr>
      <w:r w:rsidRPr="00205D16">
        <w:rPr>
          <w:b/>
          <w:color w:val="000000"/>
          <w:sz w:val="21"/>
          <w:szCs w:val="21"/>
        </w:rPr>
        <w:t>4. Technology is the strongest category; Furniture is the weakest.</w:t>
      </w:r>
      <w:r w:rsidRPr="00205D16">
        <w:rPr>
          <w:color w:val="000000"/>
          <w:sz w:val="21"/>
          <w:szCs w:val="21"/>
        </w:rPr>
        <w:t xml:space="preserve"> Technology leads with a 14.0% margin on $4.74M sales, and Office Supplies performs similarly well (13.7% margin). Furniture, despite comparable sales volume ($4.11M), returns only 6.9% margin — roughly half the profitability of the other two categories.</w:t>
      </w:r>
    </w:p>
    <w:p w14:paraId="54F24E4F" w14:textId="3BE1F7AF" w:rsidR="00607291" w:rsidRDefault="00000000">
      <w:pPr>
        <w:spacing w:after="180"/>
        <w:ind w:left="200"/>
      </w:pPr>
      <w:r w:rsidRPr="00072329">
        <w:rPr>
          <w:i/>
          <w:color w:val="000000"/>
          <w:sz w:val="19"/>
          <w:szCs w:val="19"/>
        </w:rPr>
        <w:t>Evidence: "Sales by Category" column chart and Category/Market matrix.</w:t>
      </w:r>
      <w:r w:rsidR="00174CF1">
        <w:rPr>
          <w:i/>
          <w:color w:val="000000"/>
          <w:sz w:val="19"/>
          <w:szCs w:val="19"/>
        </w:rPr>
        <w:t xml:space="preserve"> Click dropdown on </w:t>
      </w:r>
      <w:r w:rsidR="0002129F">
        <w:rPr>
          <w:i/>
          <w:color w:val="000000"/>
          <w:sz w:val="19"/>
          <w:szCs w:val="19"/>
        </w:rPr>
        <w:t>Segment</w:t>
      </w:r>
      <w:r w:rsidR="00174CF1">
        <w:rPr>
          <w:i/>
          <w:color w:val="000000"/>
          <w:sz w:val="19"/>
          <w:szCs w:val="19"/>
        </w:rPr>
        <w:t xml:space="preserve"> to view </w:t>
      </w:r>
      <w:r w:rsidR="0002129F">
        <w:rPr>
          <w:i/>
          <w:color w:val="000000"/>
          <w:sz w:val="19"/>
          <w:szCs w:val="19"/>
        </w:rPr>
        <w:t>profit margins.</w:t>
      </w:r>
    </w:p>
    <w:p w14:paraId="59B1D017" w14:textId="77777777" w:rsidR="00607291" w:rsidRDefault="00000000">
      <w:pPr>
        <w:spacing w:after="140" w:line="266" w:lineRule="auto"/>
        <w:jc w:val="both"/>
      </w:pPr>
      <w:r w:rsidRPr="003105AA">
        <w:rPr>
          <w:b/>
          <w:color w:val="000000"/>
          <w:sz w:val="21"/>
          <w:szCs w:val="21"/>
        </w:rPr>
        <w:t>5. Sales and profit have grown every year, with 2014 the strongest year on record.</w:t>
      </w:r>
      <w:r w:rsidRPr="003105AA">
        <w:rPr>
          <w:color w:val="000000"/>
          <w:sz w:val="21"/>
          <w:szCs w:val="21"/>
        </w:rPr>
        <w:t xml:space="preserve"> Sales grew from $2.26M (2011) to $4.30M (2014), a 90% increase over four years, with year-on-year growth of 18.5%, 27.2%, and 26.3%. Profit grew in step, from $249K to $504K.</w:t>
      </w:r>
    </w:p>
    <w:p w14:paraId="1EFF1488" w14:textId="41F451BC" w:rsidR="00607291" w:rsidRDefault="00000000">
      <w:pPr>
        <w:spacing w:after="180"/>
        <w:ind w:left="200"/>
      </w:pPr>
      <w:r w:rsidRPr="00371184">
        <w:rPr>
          <w:i/>
          <w:color w:val="000000"/>
          <w:sz w:val="19"/>
          <w:szCs w:val="19"/>
        </w:rPr>
        <w:t>Evidence: "Sales &amp; Sum of Profit by Month" line chart.</w:t>
      </w:r>
      <w:r w:rsidR="007D560B">
        <w:rPr>
          <w:i/>
          <w:color w:val="000000"/>
          <w:sz w:val="19"/>
          <w:szCs w:val="19"/>
        </w:rPr>
        <w:t xml:space="preserve"> Click drop down no year.</w:t>
      </w:r>
    </w:p>
    <w:p w14:paraId="1E2284B7" w14:textId="77777777" w:rsidR="00607291" w:rsidRDefault="00000000" w:rsidP="002544EC">
      <w:pPr>
        <w:pStyle w:val="Heading1"/>
        <w:spacing w:before="260" w:after="120"/>
      </w:pPr>
      <w:r>
        <w:rPr>
          <w:b/>
          <w:bCs/>
          <w:color w:val="1F3864"/>
          <w:sz w:val="26"/>
          <w:szCs w:val="26"/>
        </w:rPr>
        <w:t>Three Business Risks</w:t>
      </w:r>
    </w:p>
    <w:p w14:paraId="023F3CB4" w14:textId="77777777" w:rsidR="00607291" w:rsidRDefault="00000000">
      <w:pPr>
        <w:spacing w:after="140" w:line="266" w:lineRule="auto"/>
        <w:jc w:val="both"/>
      </w:pPr>
      <w:r w:rsidRPr="00B4373E">
        <w:rPr>
          <w:b/>
          <w:color w:val="000000"/>
          <w:sz w:val="21"/>
          <w:szCs w:val="21"/>
        </w:rPr>
        <w:t>1. Tables (Furniture sub-category) is actively losing money.</w:t>
      </w:r>
      <w:r w:rsidRPr="00B4373E">
        <w:rPr>
          <w:color w:val="000000"/>
          <w:sz w:val="21"/>
          <w:szCs w:val="21"/>
        </w:rPr>
        <w:t xml:space="preserve"> Tables generated $757K in sales but a negative $64K profit (-8.5% margin), the only sub-category operating at a loss, and carries a high average discount rate of 29%.</w:t>
      </w:r>
    </w:p>
    <w:p w14:paraId="77F0E9C5" w14:textId="77777777" w:rsidR="00607291" w:rsidRDefault="00000000">
      <w:pPr>
        <w:spacing w:after="180"/>
        <w:ind w:left="200"/>
      </w:pPr>
      <w:r w:rsidRPr="00EA1567">
        <w:rPr>
          <w:i/>
          <w:color w:val="000000"/>
          <w:sz w:val="19"/>
          <w:szCs w:val="19"/>
        </w:rPr>
        <w:lastRenderedPageBreak/>
        <w:t>Evidence: "Profit by Product" bar chart and Category/Market matrix, drilled to Sub-Category.</w:t>
      </w:r>
    </w:p>
    <w:p w14:paraId="32F0FB94" w14:textId="33591F06" w:rsidR="00607291" w:rsidRDefault="00000000">
      <w:pPr>
        <w:spacing w:after="140" w:line="266" w:lineRule="auto"/>
        <w:jc w:val="both"/>
      </w:pPr>
      <w:r w:rsidRPr="00EB5CDA">
        <w:rPr>
          <w:b/>
          <w:color w:val="000000"/>
          <w:sz w:val="21"/>
          <w:szCs w:val="21"/>
        </w:rPr>
        <w:t>2. Heavy reliance on Standard Class shipping creates operational concentration risk.</w:t>
      </w:r>
      <w:r w:rsidRPr="00EB5CDA">
        <w:rPr>
          <w:color w:val="000000"/>
          <w:sz w:val="21"/>
          <w:szCs w:val="21"/>
        </w:rPr>
        <w:t xml:space="preserve"> Standard Class accounts for $7.58M of sales (60% of the total) and 15,154 of 25,035 orders </w:t>
      </w:r>
      <w:r w:rsidR="005C1E66">
        <w:rPr>
          <w:color w:val="000000"/>
          <w:sz w:val="21"/>
          <w:szCs w:val="21"/>
        </w:rPr>
        <w:t>and</w:t>
      </w:r>
      <w:r w:rsidRPr="00EB5CDA">
        <w:rPr>
          <w:color w:val="000000"/>
          <w:sz w:val="21"/>
          <w:szCs w:val="21"/>
        </w:rPr>
        <w:t xml:space="preserve"> any disruption to standard shipping capacity would affect the majority of the business.</w:t>
      </w:r>
    </w:p>
    <w:p w14:paraId="69F6D76B" w14:textId="77777777" w:rsidR="00607291" w:rsidRDefault="00000000">
      <w:pPr>
        <w:spacing w:after="180"/>
        <w:ind w:left="200"/>
      </w:pPr>
      <w:r w:rsidRPr="00730216">
        <w:rPr>
          <w:i/>
          <w:color w:val="000000"/>
          <w:sz w:val="19"/>
          <w:szCs w:val="19"/>
        </w:rPr>
        <w:t>Evidence: "Sales by Ship Mode" column chart.</w:t>
      </w:r>
    </w:p>
    <w:p w14:paraId="0075122F" w14:textId="77777777" w:rsidR="00607291" w:rsidRDefault="00000000">
      <w:pPr>
        <w:spacing w:after="140" w:line="266" w:lineRule="auto"/>
        <w:jc w:val="both"/>
      </w:pPr>
      <w:r w:rsidRPr="006F43BF">
        <w:rPr>
          <w:b/>
          <w:color w:val="000000"/>
          <w:sz w:val="21"/>
          <w:szCs w:val="21"/>
        </w:rPr>
        <w:t>3. Southeast Asia and EMEA generate meaningful sales but return very weak margins.</w:t>
      </w:r>
      <w:r w:rsidRPr="006F43BF">
        <w:rPr>
          <w:color w:val="000000"/>
          <w:sz w:val="21"/>
          <w:szCs w:val="21"/>
        </w:rPr>
        <w:t xml:space="preserve"> Southeast Asia (2.0% margin) and EMEA (5.4% margin) together represent $1.69M in sales but only $61.8K combined profit, running near break-even and vulnerable to further cost pressure.</w:t>
      </w:r>
    </w:p>
    <w:p w14:paraId="782FFDF0" w14:textId="77777777" w:rsidR="00607291" w:rsidRDefault="00000000">
      <w:pPr>
        <w:spacing w:after="180"/>
        <w:ind w:left="200"/>
      </w:pPr>
      <w:r w:rsidRPr="00D66304">
        <w:rPr>
          <w:i/>
          <w:color w:val="000000"/>
          <w:sz w:val="19"/>
          <w:szCs w:val="19"/>
        </w:rPr>
        <w:t>Evidence: "Profit by Region" bar chart.</w:t>
      </w:r>
    </w:p>
    <w:p w14:paraId="61584FF6" w14:textId="77777777" w:rsidR="00607291" w:rsidRDefault="00000000" w:rsidP="00563530">
      <w:pPr>
        <w:pStyle w:val="Heading1"/>
        <w:spacing w:before="260" w:after="120"/>
      </w:pPr>
      <w:r>
        <w:rPr>
          <w:b/>
          <w:bCs/>
          <w:color w:val="1F3864"/>
          <w:sz w:val="26"/>
          <w:szCs w:val="26"/>
        </w:rPr>
        <w:t>Three Business Opportunities</w:t>
      </w:r>
    </w:p>
    <w:p w14:paraId="0292522D" w14:textId="77777777" w:rsidR="00607291" w:rsidRDefault="00000000">
      <w:pPr>
        <w:spacing w:after="140" w:line="266" w:lineRule="auto"/>
        <w:jc w:val="both"/>
      </w:pPr>
      <w:r w:rsidRPr="002253EE">
        <w:rPr>
          <w:b/>
          <w:color w:val="000000"/>
          <w:sz w:val="21"/>
          <w:szCs w:val="21"/>
        </w:rPr>
        <w:t>1. Technology and Office Supplies can be scaled further with confidence.</w:t>
      </w:r>
      <w:r w:rsidRPr="002253EE">
        <w:rPr>
          <w:color w:val="000000"/>
          <w:sz w:val="21"/>
          <w:szCs w:val="21"/>
        </w:rPr>
        <w:t xml:space="preserve"> Both categories combine strong sales with the healthiest margins (14.0% and 13.7%), indicating room to grow marketing and inventory investment with predictable profitability.</w:t>
      </w:r>
    </w:p>
    <w:p w14:paraId="04C78A70" w14:textId="77777777" w:rsidR="00607291" w:rsidRDefault="00000000">
      <w:pPr>
        <w:spacing w:after="180"/>
        <w:ind w:left="200"/>
      </w:pPr>
      <w:r w:rsidRPr="00760859">
        <w:rPr>
          <w:i/>
          <w:color w:val="000000"/>
          <w:sz w:val="19"/>
          <w:szCs w:val="19"/>
        </w:rPr>
        <w:t>Evidence: "Sales by Category" chart.</w:t>
      </w:r>
    </w:p>
    <w:p w14:paraId="5A6DF38A" w14:textId="5788E1A0" w:rsidR="00607291" w:rsidRDefault="00000000">
      <w:pPr>
        <w:spacing w:after="140" w:line="266" w:lineRule="auto"/>
        <w:jc w:val="both"/>
      </w:pPr>
      <w:r w:rsidRPr="005461B5">
        <w:rPr>
          <w:b/>
          <w:color w:val="000000"/>
          <w:sz w:val="21"/>
          <w:szCs w:val="21"/>
        </w:rPr>
        <w:t>2. High-margin, low-volume regions are under-tapped.</w:t>
      </w:r>
      <w:r w:rsidRPr="005461B5">
        <w:rPr>
          <w:color w:val="000000"/>
          <w:sz w:val="21"/>
          <w:szCs w:val="21"/>
        </w:rPr>
        <w:t xml:space="preserve"> Canada (26.6% margin), North Asia (19.5%), and Central Asia (17.6%) all outperform the company's 11.6% average margin by a wide margin, but contribute comparatively little total sales</w:t>
      </w:r>
      <w:r w:rsidR="005C1E66">
        <w:rPr>
          <w:color w:val="000000"/>
          <w:sz w:val="21"/>
          <w:szCs w:val="21"/>
        </w:rPr>
        <w:t>,</w:t>
      </w:r>
      <w:r w:rsidRPr="005461B5">
        <w:rPr>
          <w:color w:val="000000"/>
          <w:sz w:val="21"/>
          <w:szCs w:val="21"/>
        </w:rPr>
        <w:t xml:space="preserve"> suggesting untapped demand in efficient, high-return markets.</w:t>
      </w:r>
    </w:p>
    <w:p w14:paraId="3C977B46" w14:textId="77777777" w:rsidR="00607291" w:rsidRDefault="00000000">
      <w:pPr>
        <w:spacing w:after="180"/>
        <w:ind w:left="200"/>
      </w:pPr>
      <w:r w:rsidRPr="008B79B5">
        <w:rPr>
          <w:i/>
          <w:color w:val="000000"/>
          <w:sz w:val="19"/>
          <w:szCs w:val="19"/>
        </w:rPr>
        <w:t>Evidence: "Profit by Region" bar chart.</w:t>
      </w:r>
    </w:p>
    <w:p w14:paraId="1C66C5E0" w14:textId="77777777" w:rsidR="00607291" w:rsidRDefault="00000000">
      <w:pPr>
        <w:spacing w:after="140" w:line="266" w:lineRule="auto"/>
        <w:jc w:val="both"/>
      </w:pPr>
      <w:r w:rsidRPr="000A4EF4">
        <w:rPr>
          <w:b/>
          <w:color w:val="000000"/>
          <w:sz w:val="21"/>
          <w:szCs w:val="21"/>
        </w:rPr>
        <w:t>3. Top-performing individual products show a repeatable profit pattern.</w:t>
      </w:r>
      <w:r w:rsidRPr="000A4EF4">
        <w:rPr>
          <w:color w:val="000000"/>
          <w:sz w:val="21"/>
          <w:szCs w:val="21"/>
        </w:rPr>
        <w:t xml:space="preserve"> Products such as the Canon imageCLASS 2200 Advanced Copier ($25.2K profit) and Cisco/Motorola smartphones (~$17K profit each) show that premium Technology and select Furniture items convert sales into profit efficiently, offering a template for future product-line expansion.</w:t>
      </w:r>
    </w:p>
    <w:p w14:paraId="4EDEBF54" w14:textId="77777777" w:rsidR="00607291" w:rsidRDefault="00000000">
      <w:pPr>
        <w:spacing w:after="180"/>
        <w:ind w:left="200"/>
      </w:pPr>
      <w:r w:rsidRPr="006F45A4">
        <w:rPr>
          <w:i/>
          <w:color w:val="000000"/>
          <w:sz w:val="19"/>
          <w:szCs w:val="19"/>
        </w:rPr>
        <w:t>Evidence: "Profit by Product" bar chart.</w:t>
      </w:r>
    </w:p>
    <w:p w14:paraId="23375C16" w14:textId="77777777" w:rsidR="00607291" w:rsidRDefault="00000000" w:rsidP="001A0627">
      <w:pPr>
        <w:pStyle w:val="Heading1"/>
        <w:spacing w:before="260" w:after="120"/>
      </w:pPr>
      <w:r>
        <w:rPr>
          <w:b/>
          <w:bCs/>
          <w:color w:val="1F3864"/>
          <w:sz w:val="26"/>
          <w:szCs w:val="26"/>
        </w:rPr>
        <w:t>Five Actionable Recommendations</w:t>
      </w:r>
    </w:p>
    <w:p w14:paraId="34D3688B" w14:textId="77777777" w:rsidR="00607291" w:rsidRDefault="00000000">
      <w:pPr>
        <w:spacing w:after="140" w:line="266" w:lineRule="auto"/>
        <w:jc w:val="both"/>
      </w:pPr>
      <w:r w:rsidRPr="007A39ED">
        <w:rPr>
          <w:b/>
          <w:color w:val="000000"/>
          <w:sz w:val="21"/>
          <w:szCs w:val="21"/>
        </w:rPr>
        <w:t>1. Cap or restructure discounting on Tables and other low-margin sub-categories.</w:t>
      </w:r>
      <w:r w:rsidRPr="007A39ED">
        <w:rPr>
          <w:color w:val="000000"/>
          <w:sz w:val="21"/>
          <w:szCs w:val="21"/>
        </w:rPr>
        <w:t xml:space="preserve"> With Tables averaging a 29% discount and posting a net loss, introduce a discount ceiling (e.g. 10–15%) on this sub-category, or review supplier and production costs directly.</w:t>
      </w:r>
    </w:p>
    <w:p w14:paraId="12AC073B" w14:textId="77777777" w:rsidR="00607291" w:rsidRDefault="00000000">
      <w:pPr>
        <w:spacing w:after="180"/>
        <w:ind w:left="200"/>
      </w:pPr>
      <w:r w:rsidRPr="00C16637">
        <w:rPr>
          <w:i/>
          <w:color w:val="000000"/>
          <w:sz w:val="19"/>
          <w:szCs w:val="19"/>
        </w:rPr>
        <w:t>Evidence: Supported by Insight 4 and Risk 1.</w:t>
      </w:r>
    </w:p>
    <w:p w14:paraId="65CF6321" w14:textId="77777777" w:rsidR="00607291" w:rsidRDefault="00000000">
      <w:pPr>
        <w:spacing w:after="140" w:line="266" w:lineRule="auto"/>
        <w:jc w:val="both"/>
      </w:pPr>
      <w:r w:rsidRPr="00770085">
        <w:rPr>
          <w:b/>
          <w:color w:val="000000"/>
          <w:sz w:val="21"/>
          <w:szCs w:val="21"/>
        </w:rPr>
        <w:t>2. Reallocate marketing and inventory investment toward Technology and Office Supplies.</w:t>
      </w:r>
      <w:r w:rsidRPr="00770085">
        <w:rPr>
          <w:color w:val="000000"/>
          <w:sz w:val="21"/>
          <w:szCs w:val="21"/>
        </w:rPr>
        <w:t xml:space="preserve"> These categories combine high sales with strong margins; shifting promotional budget away from Furniture and toward Technology is likely to improve overall company margin.</w:t>
      </w:r>
    </w:p>
    <w:p w14:paraId="584470C8" w14:textId="77777777" w:rsidR="00607291" w:rsidRDefault="00000000">
      <w:pPr>
        <w:spacing w:after="180"/>
        <w:ind w:left="200"/>
      </w:pPr>
      <w:r w:rsidRPr="00222FA0">
        <w:rPr>
          <w:i/>
          <w:color w:val="000000"/>
          <w:sz w:val="19"/>
          <w:szCs w:val="19"/>
        </w:rPr>
        <w:t>Evidence: Supported by Insight 4 and Opportunity 1.</w:t>
      </w:r>
    </w:p>
    <w:p w14:paraId="47272A1B" w14:textId="77777777" w:rsidR="00607291" w:rsidRDefault="00000000">
      <w:pPr>
        <w:spacing w:after="140" w:line="266" w:lineRule="auto"/>
        <w:jc w:val="both"/>
      </w:pPr>
      <w:r w:rsidRPr="00E078F6">
        <w:rPr>
          <w:b/>
          <w:color w:val="000000"/>
          <w:sz w:val="21"/>
          <w:szCs w:val="21"/>
        </w:rPr>
        <w:t>3. Investigate underperforming regions (Southeast Asia, EMEA) for cost or pricing issues.</w:t>
      </w:r>
      <w:r w:rsidRPr="00E078F6">
        <w:rPr>
          <w:color w:val="000000"/>
          <w:sz w:val="21"/>
          <w:szCs w:val="21"/>
        </w:rPr>
        <w:t xml:space="preserve"> Given their near break-even margins despite solid sales, audit shipping costs, local discounting practices, and supplier pricing before committing further growth investment there.</w:t>
      </w:r>
    </w:p>
    <w:p w14:paraId="0B086F68" w14:textId="77777777" w:rsidR="00607291" w:rsidRDefault="00000000">
      <w:pPr>
        <w:spacing w:after="180"/>
        <w:ind w:left="200"/>
      </w:pPr>
      <w:r w:rsidRPr="00CA086F">
        <w:rPr>
          <w:i/>
          <w:color w:val="000000"/>
          <w:sz w:val="19"/>
          <w:szCs w:val="19"/>
        </w:rPr>
        <w:t>Evidence: Supported by Risk 3.</w:t>
      </w:r>
    </w:p>
    <w:p w14:paraId="5F6C14AD" w14:textId="77777777" w:rsidR="00607291" w:rsidRDefault="00000000">
      <w:pPr>
        <w:spacing w:after="140" w:line="266" w:lineRule="auto"/>
        <w:jc w:val="both"/>
      </w:pPr>
      <w:r w:rsidRPr="000D773E">
        <w:rPr>
          <w:b/>
          <w:color w:val="000000"/>
          <w:sz w:val="21"/>
          <w:szCs w:val="21"/>
        </w:rPr>
        <w:t>4. Pilot expansion in high-margin, low-volume markets (Canada, North Asia, Central Asia).</w:t>
      </w:r>
      <w:r w:rsidRPr="000D773E">
        <w:rPr>
          <w:color w:val="000000"/>
          <w:sz w:val="21"/>
          <w:szCs w:val="21"/>
        </w:rPr>
        <w:t xml:space="preserve"> These regions already prove the business model can achieve 17–27% margins; increased marketing spend or product availability here likely yields better returns than pushing further into saturated, low-margin regions.</w:t>
      </w:r>
    </w:p>
    <w:p w14:paraId="61DC56F4" w14:textId="77777777" w:rsidR="00607291" w:rsidRDefault="00000000">
      <w:pPr>
        <w:spacing w:after="180"/>
        <w:ind w:left="200"/>
      </w:pPr>
      <w:r w:rsidRPr="003A372B">
        <w:rPr>
          <w:i/>
          <w:color w:val="000000"/>
          <w:sz w:val="19"/>
          <w:szCs w:val="19"/>
        </w:rPr>
        <w:lastRenderedPageBreak/>
        <w:t>Evidence: Supported by Opportunity 2.</w:t>
      </w:r>
    </w:p>
    <w:p w14:paraId="4C08A674" w14:textId="77777777" w:rsidR="00607291" w:rsidRDefault="00000000">
      <w:pPr>
        <w:spacing w:after="140" w:line="266" w:lineRule="auto"/>
        <w:jc w:val="both"/>
      </w:pPr>
      <w:r w:rsidRPr="00226E95">
        <w:rPr>
          <w:b/>
          <w:color w:val="000000"/>
          <w:sz w:val="21"/>
          <w:szCs w:val="21"/>
        </w:rPr>
        <w:t>5. Diversify shipping mode usage to reduce operational concentration risk.</w:t>
      </w:r>
      <w:r w:rsidRPr="00226E95">
        <w:rPr>
          <w:color w:val="000000"/>
          <w:sz w:val="21"/>
          <w:szCs w:val="21"/>
        </w:rPr>
        <w:t xml:space="preserve"> With 60% of sales tied to Standard Class, evaluate incentivising alternative shipping options or securing backup logistics capacity to reduce single-point-of-failure exposure.</w:t>
      </w:r>
    </w:p>
    <w:p w14:paraId="13DD80FC" w14:textId="77777777" w:rsidR="00607291" w:rsidRDefault="00000000">
      <w:pPr>
        <w:spacing w:after="180"/>
        <w:ind w:left="200"/>
      </w:pPr>
      <w:r w:rsidRPr="00A81254">
        <w:rPr>
          <w:i/>
          <w:color w:val="000000"/>
          <w:sz w:val="19"/>
          <w:szCs w:val="19"/>
        </w:rPr>
        <w:t>Evidence: Supported by Risk 2.</w:t>
      </w:r>
    </w:p>
    <w:p w14:paraId="6D6F7A24" w14:textId="77777777" w:rsidR="00607291" w:rsidRDefault="00000000" w:rsidP="002B0FA8">
      <w:pPr>
        <w:pStyle w:val="Heading1"/>
        <w:spacing w:before="260" w:after="120"/>
      </w:pPr>
      <w:r>
        <w:rPr>
          <w:b/>
          <w:bCs/>
          <w:color w:val="1F3864"/>
          <w:sz w:val="26"/>
          <w:szCs w:val="26"/>
        </w:rPr>
        <w:t>Conclusion</w:t>
      </w:r>
    </w:p>
    <w:p w14:paraId="7521109B" w14:textId="5FB0AA03" w:rsidR="00607291" w:rsidRDefault="00000000">
      <w:pPr>
        <w:spacing w:after="140" w:line="266" w:lineRule="auto"/>
        <w:jc w:val="both"/>
      </w:pPr>
      <w:r w:rsidRPr="00892CF5">
        <w:rPr>
          <w:color w:val="000000"/>
          <w:sz w:val="21"/>
          <w:szCs w:val="21"/>
        </w:rPr>
        <w:t>The Global Superstore dashboard demonstrates consistent year-on-year growth and an overall healthy business, but reveals clear pockets of inefficiency</w:t>
      </w:r>
      <w:r w:rsidR="00437C63">
        <w:rPr>
          <w:color w:val="000000"/>
          <w:sz w:val="21"/>
          <w:szCs w:val="21"/>
        </w:rPr>
        <w:t>,</w:t>
      </w:r>
      <w:r w:rsidRPr="00892CF5">
        <w:rPr>
          <w:color w:val="000000"/>
          <w:sz w:val="21"/>
          <w:szCs w:val="21"/>
        </w:rPr>
        <w:t xml:space="preserve"> most notably in the Furniture category and specific low-margin regions. Addressing discounting practices in loss-making sub-categories, reallocating investment toward high-margin categories and regions, and diversifying operational dependencies (such as shipping mode) represent the highest-impact opportunities for management to pursue in the next planning cycle.</w:t>
      </w:r>
    </w:p>
    <w:sectPr w:rsidR="006072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8F337" w14:textId="77777777" w:rsidR="00087ED1" w:rsidRDefault="00087ED1">
      <w:r>
        <w:separator/>
      </w:r>
    </w:p>
  </w:endnote>
  <w:endnote w:type="continuationSeparator" w:id="0">
    <w:p w14:paraId="4FFB18C5" w14:textId="77777777" w:rsidR="00087ED1" w:rsidRDefault="00087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3CEC6" w14:textId="77777777" w:rsidR="00C03170" w:rsidRDefault="00C031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0D0C" w14:textId="2350EE3C" w:rsidR="00184F92" w:rsidRDefault="00184F92">
    <w:pPr>
      <w:spacing w:before="100" w:beforeAutospacing="1" w:after="100" w:afterAutospacing="1"/>
      <w:jc w:val="center"/>
      <w:rPr>
        <w:sz w:val="24"/>
        <w:szCs w:val="24"/>
      </w:rPr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  <w:p w14:paraId="432D9ABC" w14:textId="2B5467E4" w:rsidR="00607291" w:rsidRDefault="00184F92">
    <w:pPr>
      <w:jc w:val="center"/>
    </w:pPr>
    <w:r>
      <w:t> 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FB28A" w14:textId="77777777" w:rsidR="00C03170" w:rsidRDefault="00C031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3DD63" w14:textId="77777777" w:rsidR="00087ED1" w:rsidRDefault="00087ED1">
      <w:r>
        <w:separator/>
      </w:r>
    </w:p>
  </w:footnote>
  <w:footnote w:type="continuationSeparator" w:id="0">
    <w:p w14:paraId="09E91EAF" w14:textId="77777777" w:rsidR="00087ED1" w:rsidRDefault="00087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1A4D9" w14:textId="77777777" w:rsidR="00C03170" w:rsidRDefault="00C031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D0F39" w14:textId="77777777" w:rsidR="00C03170" w:rsidRDefault="00C031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C1907"/>
    <w:multiLevelType w:val="hybridMultilevel"/>
    <w:tmpl w:val="B0064452"/>
    <w:lvl w:ilvl="0" w:tplc="912EFD7E">
      <w:start w:val="1"/>
      <w:numFmt w:val="bullet"/>
      <w:lvlText w:val="●"/>
      <w:lvlJc w:val="left"/>
      <w:pPr>
        <w:ind w:left="720" w:hanging="360"/>
      </w:pPr>
    </w:lvl>
    <w:lvl w:ilvl="1" w:tplc="8100596E">
      <w:start w:val="1"/>
      <w:numFmt w:val="bullet"/>
      <w:lvlText w:val="○"/>
      <w:lvlJc w:val="left"/>
      <w:pPr>
        <w:ind w:left="1440" w:hanging="360"/>
      </w:pPr>
    </w:lvl>
    <w:lvl w:ilvl="2" w:tplc="46FA55A0">
      <w:start w:val="1"/>
      <w:numFmt w:val="bullet"/>
      <w:lvlText w:val="■"/>
      <w:lvlJc w:val="left"/>
      <w:pPr>
        <w:ind w:left="2160" w:hanging="360"/>
      </w:pPr>
    </w:lvl>
    <w:lvl w:ilvl="3" w:tplc="3B64B754">
      <w:start w:val="1"/>
      <w:numFmt w:val="bullet"/>
      <w:lvlText w:val="●"/>
      <w:lvlJc w:val="left"/>
      <w:pPr>
        <w:ind w:left="2880" w:hanging="360"/>
      </w:pPr>
    </w:lvl>
    <w:lvl w:ilvl="4" w:tplc="AB3A4BC4">
      <w:start w:val="1"/>
      <w:numFmt w:val="bullet"/>
      <w:lvlText w:val="○"/>
      <w:lvlJc w:val="left"/>
      <w:pPr>
        <w:ind w:left="3600" w:hanging="360"/>
      </w:pPr>
    </w:lvl>
    <w:lvl w:ilvl="5" w:tplc="0C766234">
      <w:start w:val="1"/>
      <w:numFmt w:val="bullet"/>
      <w:lvlText w:val="■"/>
      <w:lvlJc w:val="left"/>
      <w:pPr>
        <w:ind w:left="4320" w:hanging="360"/>
      </w:pPr>
    </w:lvl>
    <w:lvl w:ilvl="6" w:tplc="FDA2B36A">
      <w:start w:val="1"/>
      <w:numFmt w:val="bullet"/>
      <w:lvlText w:val="●"/>
      <w:lvlJc w:val="left"/>
      <w:pPr>
        <w:ind w:left="5040" w:hanging="360"/>
      </w:pPr>
    </w:lvl>
    <w:lvl w:ilvl="7" w:tplc="7256E3E4">
      <w:start w:val="1"/>
      <w:numFmt w:val="bullet"/>
      <w:lvlText w:val="●"/>
      <w:lvlJc w:val="left"/>
      <w:pPr>
        <w:ind w:left="5760" w:hanging="360"/>
      </w:pPr>
    </w:lvl>
    <w:lvl w:ilvl="8" w:tplc="2E5A9E00">
      <w:start w:val="1"/>
      <w:numFmt w:val="bullet"/>
      <w:lvlText w:val="●"/>
      <w:lvlJc w:val="left"/>
      <w:pPr>
        <w:ind w:left="6480" w:hanging="360"/>
      </w:pPr>
    </w:lvl>
  </w:abstractNum>
  <w:num w:numId="1" w16cid:durableId="878320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291"/>
    <w:rsid w:val="0002129F"/>
    <w:rsid w:val="00066540"/>
    <w:rsid w:val="00072329"/>
    <w:rsid w:val="00087ED1"/>
    <w:rsid w:val="000A4EF4"/>
    <w:rsid w:val="000D773E"/>
    <w:rsid w:val="001062B9"/>
    <w:rsid w:val="00134D06"/>
    <w:rsid w:val="00152558"/>
    <w:rsid w:val="00174CF1"/>
    <w:rsid w:val="00184F92"/>
    <w:rsid w:val="001A0627"/>
    <w:rsid w:val="00205D16"/>
    <w:rsid w:val="00222FA0"/>
    <w:rsid w:val="002253EE"/>
    <w:rsid w:val="00226E95"/>
    <w:rsid w:val="002544EC"/>
    <w:rsid w:val="002739E5"/>
    <w:rsid w:val="002B0FA8"/>
    <w:rsid w:val="003105AA"/>
    <w:rsid w:val="00310795"/>
    <w:rsid w:val="00371184"/>
    <w:rsid w:val="003A372B"/>
    <w:rsid w:val="00437C63"/>
    <w:rsid w:val="00486890"/>
    <w:rsid w:val="004E7686"/>
    <w:rsid w:val="005461B5"/>
    <w:rsid w:val="00563530"/>
    <w:rsid w:val="005C1E66"/>
    <w:rsid w:val="00607291"/>
    <w:rsid w:val="00637440"/>
    <w:rsid w:val="00663E01"/>
    <w:rsid w:val="006C0CF6"/>
    <w:rsid w:val="006F43BF"/>
    <w:rsid w:val="006F45A4"/>
    <w:rsid w:val="0072483B"/>
    <w:rsid w:val="00730216"/>
    <w:rsid w:val="00760859"/>
    <w:rsid w:val="00770085"/>
    <w:rsid w:val="0079434B"/>
    <w:rsid w:val="007A39ED"/>
    <w:rsid w:val="007B7784"/>
    <w:rsid w:val="007D560B"/>
    <w:rsid w:val="00892CF5"/>
    <w:rsid w:val="008A7CE8"/>
    <w:rsid w:val="008B79B5"/>
    <w:rsid w:val="008F2294"/>
    <w:rsid w:val="00A552FA"/>
    <w:rsid w:val="00A81254"/>
    <w:rsid w:val="00B4373E"/>
    <w:rsid w:val="00C03170"/>
    <w:rsid w:val="00C16637"/>
    <w:rsid w:val="00C27837"/>
    <w:rsid w:val="00CA086F"/>
    <w:rsid w:val="00D66304"/>
    <w:rsid w:val="00DB2364"/>
    <w:rsid w:val="00E078F6"/>
    <w:rsid w:val="00EA1567"/>
    <w:rsid w:val="00EA2A99"/>
    <w:rsid w:val="00EB5CDA"/>
    <w:rsid w:val="00F46AB9"/>
    <w:rsid w:val="00F8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9A83"/>
  <w15:docId w15:val="{5BA2E9F7-1F4C-4321-904C-B1BCF735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W" w:eastAsia="en-Z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17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17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17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31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170"/>
  </w:style>
  <w:style w:type="paragraph" w:styleId="Footer">
    <w:name w:val="footer"/>
    <w:basedOn w:val="Normal"/>
    <w:link w:val="FooterChar"/>
    <w:uiPriority w:val="99"/>
    <w:unhideWhenUsed/>
    <w:rsid w:val="00C031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3170"/>
  </w:style>
  <w:style w:type="character" w:styleId="BookTitle">
    <w:name w:val="Book Title"/>
    <w:basedOn w:val="DefaultParagraphFont"/>
    <w:uiPriority w:val="33"/>
    <w:qFormat/>
    <w:rsid w:val="00C0317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3170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03170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17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1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1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C03170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170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170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C03170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C03170"/>
  </w:style>
  <w:style w:type="paragraph" w:styleId="Quote">
    <w:name w:val="Quote"/>
    <w:basedOn w:val="Normal"/>
    <w:next w:val="Normal"/>
    <w:link w:val="QuoteChar"/>
    <w:uiPriority w:val="29"/>
    <w:qFormat/>
    <w:rsid w:val="00C0317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170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C0317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17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0317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C0317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03170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3170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939</Words>
  <Characters>5694</Characters>
  <Application>Microsoft Office Word</Application>
  <DocSecurity>0</DocSecurity>
  <Lines>96</Lines>
  <Paragraphs>63</Paragraphs>
  <ScaleCrop>false</ScaleCrop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Simbarashe Mandiveyi</cp:lastModifiedBy>
  <cp:revision>20</cp:revision>
  <dcterms:created xsi:type="dcterms:W3CDTF">2026-08-16T16:45:00Z</dcterms:created>
  <dcterms:modified xsi:type="dcterms:W3CDTF">2026-08-16T17:20:00Z</dcterms:modified>
</cp:coreProperties>
</file>