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jc w:val="center"/>
      </w:pPr>
      <w:r>
        <w:t xml:space="preserve">ANALYSTLAB AFRICA — EXPERIENCE LAB</w:t>
      </w:r>
    </w:p>
    <w:p>
      <w:pPr>
        <w:spacing w:after="60"/>
        <w:jc w:val="center"/>
      </w:pPr>
      <w:r>
        <w:rPr>
          <w:b/>
          <w:bCs/>
          <w:sz w:val="28"/>
          <w:szCs w:val="28"/>
        </w:rPr>
        <w:t xml:space="preserve">HealthConnect Clinic Project</w:t>
      </w:r>
    </w:p>
    <w:p>
      <w:pPr>
        <w:spacing w:after="60"/>
        <w:jc w:val="center"/>
      </w:pPr>
      <w:r>
        <w:rPr>
          <w:i/>
          <w:iCs/>
          <w:sz w:val="24"/>
          <w:szCs w:val="24"/>
        </w:rPr>
        <w:t xml:space="preserve">Week 7 Project Summary — Data Analytics Track</w:t>
      </w:r>
    </w:p>
    <w:p>
      <w:pPr>
        <w:spacing w:after="300"/>
        <w:jc w:val="center"/>
      </w:pPr>
      <w:r>
        <w:rPr>
          <w:sz w:val="22"/>
          <w:szCs w:val="22"/>
        </w:rPr>
        <w:t xml:space="preserve">Simbarashe Mandiveyi</w:t>
      </w:r>
    </w:p>
    <w:p>
      <w:pPr>
        <w:pStyle w:val="Heading1"/>
        <w:spacing w:after="150" w:before="300"/>
      </w:pPr>
      <w:r>
        <w:t xml:space="preserve">1. What Was Planned to Test</w:t>
      </w:r>
    </w:p>
    <w:p>
      <w:pPr>
        <w:spacing w:after="120"/>
      </w:pPr>
      <w:r>
        <w:t xml:space="preserve">Whether the Week 5 dashboard's KPI calculations are accurate against the underlying data, whether the Week 6 findings (lead time and prior no-show history) hold up across sub-segments and on unseen data, and whether any Week 6 visualisation could mislead a viewer.</w:t>
      </w:r>
    </w:p>
    <w:p>
      <w:pPr>
        <w:pStyle w:val="Heading1"/>
        <w:spacing w:after="150" w:before="300"/>
      </w:pPr>
      <w:r>
        <w:t xml:space="preserve">2. What Was Actually Tested</w:t>
      </w:r>
    </w:p>
    <w:p>
      <w:pPr>
        <w:pStyle w:val="ListParagraph"/>
        <w:numPr>
          <w:ilvl w:val="0"/>
          <w:numId w:val="1"/>
        </w:numPr>
        <w:spacing w:after="80"/>
      </w:pPr>
      <w:r>
        <w:t xml:space="preserve">Data integrity of the Week 5 cleaning step against the raw dataset.</w:t>
      </w:r>
    </w:p>
    <w:p>
      <w:pPr>
        <w:pStyle w:val="ListParagraph"/>
        <w:numPr>
          <w:ilvl w:val="0"/>
          <w:numId w:val="1"/>
        </w:numPr>
        <w:spacing w:after="80"/>
      </w:pPr>
      <w:r>
        <w:t xml:space="preserve">Four dashboard filter/formula scenarios on the interactive Excel dashboard, including a deliberately small (n=8) edge case.</w:t>
      </w:r>
    </w:p>
    <w:p>
      <w:pPr>
        <w:pStyle w:val="ListParagraph"/>
        <w:numPr>
          <w:ilvl w:val="0"/>
          <w:numId w:val="1"/>
        </w:numPr>
        <w:spacing w:after="80"/>
      </w:pPr>
      <w:r>
        <w:t xml:space="preserve">The lead-time finding across 9 demographic subgroups (gender × age group).</w:t>
      </w:r>
    </w:p>
    <w:p>
      <w:pPr>
        <w:pStyle w:val="ListParagraph"/>
        <w:numPr>
          <w:ilvl w:val="0"/>
          <w:numId w:val="1"/>
        </w:numPr>
        <w:spacing w:after="80"/>
      </w:pPr>
      <w:r>
        <w:t xml:space="preserve">The prior-no-show finding across all 4 appointment types.</w:t>
      </w:r>
    </w:p>
    <w:p>
      <w:pPr>
        <w:pStyle w:val="ListParagraph"/>
        <w:numPr>
          <w:ilvl w:val="0"/>
          <w:numId w:val="1"/>
        </w:numPr>
        <w:spacing w:after="80"/>
      </w:pPr>
      <w:r>
        <w:t xml:space="preserve">The Week 6 feature ranking on a 70/30 train/test split, as a cross-track test with Data Science.</w:t>
      </w:r>
    </w:p>
    <w:p>
      <w:pPr>
        <w:pStyle w:val="Heading1"/>
        <w:spacing w:after="150" w:before="300"/>
      </w:pPr>
      <w:r>
        <w:t xml:space="preserve">3. Most Important Testing Results</w:t>
      </w:r>
    </w:p>
    <w:p>
      <w:pPr>
        <w:pStyle w:val="ListParagraph"/>
        <w:numPr>
          <w:ilvl w:val="0"/>
          <w:numId w:val="1"/>
        </w:numPr>
        <w:spacing w:after="80"/>
      </w:pPr>
      <w:r>
        <w:t xml:space="preserve">All dashboard and cleaning-step tests passed exactly, including the small-sample edge case.</w:t>
      </w:r>
    </w:p>
    <w:p>
      <w:pPr>
        <w:pStyle w:val="ListParagraph"/>
        <w:numPr>
          <w:ilvl w:val="0"/>
          <w:numId w:val="1"/>
        </w:numPr>
        <w:spacing w:after="80"/>
      </w:pPr>
      <w:r>
        <w:t xml:space="preserve">The prior-no-show finding held with zero exceptions across every appointment type.</w:t>
      </w:r>
    </w:p>
    <w:p>
      <w:pPr>
        <w:pStyle w:val="ListParagraph"/>
        <w:numPr>
          <w:ilvl w:val="0"/>
          <w:numId w:val="1"/>
        </w:numPr>
        <w:spacing w:after="80"/>
      </w:pPr>
      <w:r>
        <w:t xml:space="preserve">The lead-time finding held in 7 of 9 subgroups, with minor, explainable exceptions in small or edge-case groups.</w:t>
      </w:r>
    </w:p>
    <w:p>
      <w:pPr>
        <w:pStyle w:val="ListParagraph"/>
        <w:numPr>
          <w:ilvl w:val="0"/>
          <w:numId w:val="1"/>
        </w:numPr>
        <w:spacing w:after="80"/>
      </w:pPr>
      <w:r>
        <w:t xml:space="preserve">The feature ranking fully generalised on held-out data — no feature changed relative rank.</w:t>
      </w:r>
    </w:p>
    <w:p>
      <w:pPr>
        <w:pStyle w:val="Heading1"/>
        <w:spacing w:after="150" w:before="300"/>
      </w:pPr>
      <w:r>
        <w:t xml:space="preserve">4. Issues or Weaknesses Identified</w:t>
      </w:r>
    </w:p>
    <w:p>
      <w:pPr>
        <w:spacing w:after="120"/>
      </w:pPr>
      <w:r>
        <w:t xml:space="preserve">The Week 6 risk-matrix heatmap did not indicate cell sample sizes, risking over-interpretation of three cells based on only 10-26 records in the “3+ prior no-shows” row.</w:t>
      </w:r>
    </w:p>
    <w:p>
      <w:pPr>
        <w:pStyle w:val="Heading1"/>
        <w:spacing w:after="150" w:before="300"/>
      </w:pPr>
      <w:r>
        <w:t xml:space="preserve">5. Improvements/Refinements Made</w:t>
      </w:r>
    </w:p>
    <w:p>
      <w:pPr>
        <w:spacing w:after="120"/>
      </w:pPr>
      <w:r>
        <w:t xml:space="preserve">The heatmap now displays the record count per cell and visually flags any cell under 30 records with a dashed border, so a viewer cannot mistake a small, noisy result for a validated pattern.</w:t>
      </w:r>
    </w:p>
    <w:p>
      <w:pPr>
        <w:pStyle w:val="Heading1"/>
        <w:spacing w:after="150" w:before="300"/>
      </w:pPr>
      <w:r>
        <w:t xml:space="preserve">6. Retesting Results</w:t>
      </w:r>
    </w:p>
    <w:p>
      <w:pPr>
        <w:spacing w:after="120"/>
      </w:pPr>
      <w:r>
        <w:t xml:space="preserve">The refined heatmap was re-checked against the same underlying data and correctly flags exactly the three problematic cells identified during testing; the validated rates themselves are unchanged.</w:t>
      </w:r>
    </w:p>
    <w:p>
      <w:pPr>
        <w:pStyle w:val="Heading1"/>
        <w:spacing w:after="150" w:before="300"/>
      </w:pPr>
      <w:r>
        <w:t xml:space="preserve">7. Track(s) Collaborated With</w:t>
      </w:r>
    </w:p>
    <w:p>
      <w:pPr>
        <w:spacing w:after="120"/>
      </w:pPr>
      <w:r>
        <w:t xml:space="preserve">Data Science.</w:t>
      </w:r>
    </w:p>
    <w:p>
      <w:pPr>
        <w:pStyle w:val="Heading1"/>
        <w:spacing w:after="150" w:before="300"/>
      </w:pPr>
      <w:r>
        <w:t xml:space="preserve">8. What Was Tested Collaboratively</w:t>
      </w:r>
    </w:p>
    <w:p>
      <w:pPr>
        <w:spacing w:after="120"/>
      </w:pPr>
      <w:r>
        <w:t xml:space="preserve">Whether the feature-recommendation ranking handed to Data Science in Week 6 generalises to a held-out data split, mirroring their own Week 7 train/test approach.</w:t>
      </w:r>
    </w:p>
    <w:p>
      <w:pPr>
        <w:pStyle w:val="Heading1"/>
        <w:spacing w:after="150" w:before="300"/>
      </w:pPr>
      <w:r>
        <w:t xml:space="preserve">9. What Changed as a Result</w:t>
      </w:r>
    </w:p>
    <w:p>
      <w:pPr>
        <w:spacing w:after="120"/>
      </w:pPr>
      <w:r>
        <w:t xml:space="preserve">The feature ranking's validation status was upgraded from “validated on the full sample” to “validated on the full sample and confirmed to generalise on unseen data,” giving Data Science added confidence ahead of their own model testing.</w:t>
      </w:r>
    </w:p>
    <w:p>
      <w:pPr>
        <w:pStyle w:val="Heading1"/>
        <w:spacing w:after="150" w:before="300"/>
      </w:pPr>
      <w:r>
        <w:t xml:space="preserve">10. Key Findings or Validation Outcomes</w:t>
      </w:r>
    </w:p>
    <w:p>
      <w:pPr>
        <w:spacing w:after="120"/>
      </w:pPr>
      <w:r>
        <w:t xml:space="preserve">The analytical foundation built in Weeks 5-6 is calculation-accurate, largely robust across segments, and safe to carry into Week 8 final integration, with the one identified weakness (the heatmap) already corrected and re-tested within the same week.</w:t>
      </w:r>
    </w:p>
    <w:p>
      <w:pPr>
        <w:pStyle w:val="Heading1"/>
        <w:spacing w:after="150" w:before="300"/>
      </w:pPr>
      <w:r>
        <w:t xml:space="preserve">11. Major Challenges</w:t>
      </w:r>
    </w:p>
    <w:p>
      <w:pPr>
        <w:spacing w:after="120"/>
      </w:pPr>
      <w:r>
        <w:t xml:space="preserve">Distinguishing a genuine finding-level exception (e.g. the lead-time reversal in small subgroups) from a real refutation of the overall conclusion required checking sample sizes alongside the pattern itself, not just the direction of the trend.</w:t>
      </w:r>
    </w:p>
    <w:p>
      <w:pPr>
        <w:pStyle w:val="Heading1"/>
        <w:spacing w:after="150" w:before="300"/>
      </w:pPr>
      <w:r>
        <w:t xml:space="preserve">12. Important Decisions</w:t>
      </w:r>
    </w:p>
    <w:p>
      <w:pPr>
        <w:spacing w:after="120"/>
      </w:pPr>
      <w:r>
        <w:t xml:space="preserve">Chose to flag rather than silently exclude the small-sample subgroup exceptions, since transparently showing where a finding is weaker is more useful to stakeholders than only reporting the clean, aggregate result.</w:t>
      </w:r>
    </w:p>
    <w:p>
      <w:pPr>
        <w:pStyle w:val="Heading1"/>
        <w:spacing w:after="150" w:before="300"/>
      </w:pPr>
      <w:r>
        <w:t xml:space="preserve">13. Remaining Limitations</w:t>
      </w:r>
    </w:p>
    <w:p>
      <w:pPr>
        <w:pStyle w:val="ListParagraph"/>
        <w:numPr>
          <w:ilvl w:val="0"/>
          <w:numId w:val="1"/>
        </w:numPr>
        <w:spacing w:after="80"/>
      </w:pPr>
      <w:r>
        <w:t xml:space="preserve">The Sunday-appointment discrepancy from Week 5/6 remains unresolved.</w:t>
      </w:r>
    </w:p>
    <w:p>
      <w:pPr>
        <w:pStyle w:val="ListParagraph"/>
        <w:numPr>
          <w:ilvl w:val="0"/>
          <w:numId w:val="1"/>
        </w:numPr>
        <w:spacing w:after="80"/>
      </w:pPr>
      <w:r>
        <w:t xml:space="preserve">The multivariate model's modest explanatory power (pseudo R² ≈ 0.081, from Week 6) is unchanged.</w:t>
      </w:r>
    </w:p>
    <w:p>
      <w:pPr>
        <w:pStyle w:val="ListParagraph"/>
        <w:numPr>
          <w:ilvl w:val="0"/>
          <w:numId w:val="1"/>
        </w:numPr>
        <w:spacing w:after="80"/>
      </w:pPr>
      <w:r>
        <w:t xml:space="preserve">Small-sample cells will need the same reliability check applied to any future segment-level analysis.</w:t>
      </w:r>
    </w:p>
    <w:p>
      <w:pPr>
        <w:pStyle w:val="Heading1"/>
        <w:spacing w:after="150" w:before="300"/>
      </w:pPr>
      <w:r>
        <w:t xml:space="preserve">14. Remaining Issues or Dependencies</w:t>
      </w:r>
    </w:p>
    <w:p>
      <w:pPr>
        <w:spacing w:after="120"/>
      </w:pPr>
      <w:r>
        <w:t xml:space="preserve">None blocking — Data Science has the confirmed feature ranking they need for their own Week 7 testing.</w:t>
      </w:r>
    </w:p>
    <w:p>
      <w:pPr>
        <w:pStyle w:val="Heading1"/>
        <w:spacing w:after="150" w:before="300"/>
      </w:pPr>
      <w:r>
        <w:t xml:space="preserve">15. Contribution to the Overall HealthConnect Project</w:t>
      </w:r>
    </w:p>
    <w:p>
      <w:pPr>
        <w:spacing w:after="120"/>
      </w:pPr>
      <w:r>
        <w:t xml:space="preserve">Confirmed that the analytical layer other tracks depend on (KPIs, dashboard, validated findings, feature recommendations) is accurate and generalises, and fixed the one weakness found before it reached Week 8 final integration.</w:t>
      </w:r>
    </w:p>
    <w:p>
      <w:pPr>
        <w:pStyle w:val="Heading1"/>
        <w:spacing w:after="150" w:before="300"/>
      </w:pPr>
      <w:r>
        <w:t xml:space="preserve">16. What Must Be Completed Before Week 8</w:t>
      </w:r>
    </w:p>
    <w:p>
      <w:pPr>
        <w:spacing w:after="120"/>
      </w:pPr>
      <w:r>
        <w:t xml:space="preserve">Nothing outstanding from the Data Analytics side — this week's testing surfaced one issue and it was resolved and re-tested within the same week.</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2026-09-14T09:18:40.397Z</dcterms:created>
  <dcterms:modified xsi:type="dcterms:W3CDTF">2026-09-14T09:18:40.398Z</dcterms:modified>
</cp:coreProperties>
</file>

<file path=docProps/custom.xml><?xml version="1.0" encoding="utf-8"?>
<Properties xmlns="http://schemas.openxmlformats.org/officeDocument/2006/custom-properties" xmlns:vt="http://schemas.openxmlformats.org/officeDocument/2006/docPropsVTypes"/>
</file>