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ANALYSTLAB AFRICA — EXPERIENCE LAB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HealthConnect Clinic Project — Week 7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HealthConnect Analytics Testing &amp; Refinement Report — Data Analytics Track</w:t>
      </w:r>
    </w:p>
    <w:p>
      <w:pPr>
        <w:spacing w:after="300"/>
        <w:jc w:val="center"/>
      </w:pPr>
      <w:r>
        <w:rPr>
          <w:sz w:val="22"/>
          <w:szCs w:val="22"/>
        </w:rPr>
        <w:t xml:space="preserve">Simbarashe Mandiveyi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Analytics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69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HealthConnect Clinic Experience Lab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Builds 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5 Analytics Report/Dashboard + Week 6 Advanced Analytics &amp; Decision Support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Cross-track testing</w:t>
            </w:r>
          </w:p>
        </w:tc>
        <w:tc>
          <w:tcPr>
            <w:tcW w:type="dxa" w:w="69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Analytics ↔ Data Science (feature-ranking generalisation test)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 project question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can HealthConnect Clinic use data and AI to reduce missed appointments and improve the patient support experience?</w:t>
            </w:r>
          </w:p>
        </w:tc>
      </w:tr>
    </w:tbl>
    <w:p>
      <w:pPr>
        <w:pStyle w:val="Heading1"/>
        <w:spacing w:after="150" w:before="300"/>
      </w:pPr>
      <w:r>
        <w:t xml:space="preserve">1. Week 6 → Week 7 Transition</w:t>
      </w:r>
    </w:p>
    <w:p>
      <w:pPr>
        <w:spacing w:after="120"/>
      </w:pPr>
      <w:r>
        <w:t xml:space="preserve">Week 6 delivered validated, effect-size-tested KPIs, a multivariate model, and a risk-segmentation matrix, plus a feature-recommendation file handed to the Data Science track. The main issue carried into Week 7: none of this had yet been independently tested for calculation accuracy, robustness across sub-segments, or generalisation to unseen data — and one visualisation (the risk-matrix heatmap) risked misleading a viewer about the reliability of its smallest cells.</w:t>
      </w:r>
    </w:p>
    <w:p>
      <w:pPr>
        <w:pStyle w:val="Heading1"/>
        <w:spacing w:after="150" w:before="300"/>
      </w:pPr>
      <w:r>
        <w:t xml:space="preserve">2. Testing the Dashboard and KPI Calculations</w:t>
      </w:r>
    </w:p>
    <w:p>
      <w:pPr>
        <w:spacing w:after="120"/>
      </w:pPr>
      <w:r>
        <w:t xml:space="preserve">The Week 5 cleaning step was checked against the raw dataset, and the Week 5 interactive Excel dashboard was tested with four independent filter scenarios (including a deliberately small n=8 edge case), each cross-checked against an independent pandas calculation.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rPr>
          <w:tblHeader/>
        </w:trPr>
        <w:tc>
          <w:tcPr>
            <w:tcW w:type="dxa" w:w="47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48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Cleaning step: raw vs cleaned outcome data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Identical — PASS</w:t>
            </w:r>
          </w:p>
        </w:tc>
      </w:tr>
      <w:tr>
        <w:tc>
          <w:tcPr>
            <w:tcW w:type="dxa" w:w="47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all filters = (All)</w:t>
            </w:r>
          </w:p>
        </w:tc>
        <w:tc>
          <w:tcPr>
            <w:tcW w:type="dxa" w:w="48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full-dataset totals exactly — PASS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Gender=Female + Lead Time=31-60 days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pandas filter exactly — PASS</w:t>
            </w:r>
          </w:p>
        </w:tc>
      </w:tr>
      <w:tr>
        <w:tc>
          <w:tcPr>
            <w:tcW w:type="dxa" w:w="47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3-filter small-n edge case (n=8)</w:t>
            </w:r>
          </w:p>
        </w:tc>
        <w:tc>
          <w:tcPr>
            <w:tcW w:type="dxa" w:w="48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pandas filter exactly — PASS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Calc-sheet chart series vs reported Week 5/6 figures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to rounding — PASS</w:t>
            </w:r>
          </w:p>
        </w:tc>
      </w:tr>
    </w:tbl>
    <w:p>
      <w:pPr>
        <w:pStyle w:val="Heading1"/>
        <w:spacing w:after="150" w:before="300"/>
      </w:pPr>
      <w:r>
        <w:t xml:space="preserve">3. Testing Whether Key Findings Hold Across Segments</w:t>
      </w:r>
    </w:p>
    <w:p>
      <w:pPr>
        <w:spacing w:after="120"/>
      </w:pPr>
      <w:r>
        <w:t xml:space="preserve">The two strongest Week 6 findings were re-tested within relevant sub-segments to check they are not artefacts of one dominant group.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7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Finding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Segments tested</w:t>
            </w:r>
          </w:p>
        </w:tc>
        <w:tc>
          <w:tcPr>
            <w:tcW w:type="dxa" w:w="37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Lead-time effect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Gender (3 groups), age group (6 groups)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Holds in 7 of 9 subgroups; minor exceptions in the small “Prefer not to say” gender group and marginally in the 18-24 / 65+ age groups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Prior-no-show effect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type (4 groups)</w:t>
            </w:r>
          </w:p>
        </w:tc>
        <w:tc>
          <w:tcPr>
            <w:tcW w:type="dxa" w:w="37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Holds with zero exceptions in all 4 groups, including the smallest (Diagnostic Test, n=567)</w:t>
            </w:r>
          </w:p>
        </w:tc>
      </w:tr>
    </w:tbl>
    <w:p>
      <w:pPr>
        <w:spacing w:after="120"/>
      </w:pPr>
      <w:r>
        <w:t xml:space="preserve">Conclusion: both findings are robust. The lead-time finding is best described as “broadly consistent” rather than “universal,” since its exceptions occur only in smaller or edge-case subgroups.</w:t>
      </w:r>
    </w:p>
    <w:p>
      <w:pPr>
        <w:pStyle w:val="Heading1"/>
        <w:spacing w:after="150" w:before="300"/>
      </w:pPr>
      <w:r>
        <w:t xml:space="preserve">4. Cross-Track Testing With Data Science: Does the Feature Ranking Generalise?</w:t>
      </w:r>
    </w:p>
    <w:p>
      <w:pPr>
        <w:spacing w:after="120"/>
      </w:pPr>
      <w:r>
        <w:t xml:space="preserve">The feature-recommendation ranking handed to Data Science in Week 6 was re-tested on a 70/30 train/test split, mirroring their own Week 7 testing approach, to confirm it was not a sample-specific artefact before they rely on it further.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1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Train Cramer's V (n=3,315)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Cramer's V (n=1,422)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Ranking stable?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Lead-time band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0.247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0.315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remains strongest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 no-show band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0.119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0.137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remains 2nd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Distance band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0.058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0.088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remains 3rd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Reminder sent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0.039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0.048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remains smallest tier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type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0.052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0.028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remains smallest tier</w:t>
            </w:r>
          </w:p>
        </w:tc>
      </w:tr>
    </w:tbl>
    <w:p>
      <w:pPr>
        <w:spacing w:after="120"/>
      </w:pPr>
      <w:r>
        <w:t xml:space="preserve">Result: the ranking is fully stable across the split — no feature changed relative position. This is passed back to Data Science as confirmation their Week 6/7 modelling work rests on a validated, non-artefactual feature list.</w:t>
      </w:r>
    </w:p>
    <w:p>
      <w:pPr>
        <w:pStyle w:val="Heading1"/>
        <w:spacing w:after="150" w:before="300"/>
      </w:pPr>
      <w:r>
        <w:t xml:space="preserve">5. Refining a Misleading Visualisation</w:t>
      </w:r>
    </w:p>
    <w:p>
      <w:pPr>
        <w:spacing w:after="120"/>
      </w:pPr>
      <w:r>
        <w:t xml:space="preserve">Issue identified: the Week 6 risk-matrix heatmap showed a no-show rate for every lead-time × prior-history cell with no indication of sample size. Three cells in the “3+ prior no-shows” row were based on only 10–26 records, yet displayed with the same visual weight as cells based on hundreds or over a thousand records.</w:t>
      </w:r>
    </w:p>
    <w:p>
      <w:pPr>
        <w:spacing w:after="200" w:before="10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Action taken: the heatmap now displays the record count per cell and flags any cell under 30 records with a dashed border. Retest: the refined heatmap correctly flags exactly the three problematic cells, with the underlying validated rates unchanged.</w:t>
      </w:r>
    </w:p>
    <w:p>
      <w:pPr>
        <w:pStyle w:val="Heading1"/>
        <w:spacing w:after="150" w:before="300"/>
      </w:pPr>
      <w:r>
        <w:t xml:space="preserve">6. Updated Business Insights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lead time remains the strongest, most robust driver — confirmed across subgroups and on held-out data. Action unchanged.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 no-show history is the single most consistent finding in this project, holding without exception across every appointment type. Confidence increased.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composite high-risk segment (2+ prior no-shows AND 15+ day lead time, n=372) is confirmed reliable and distinct from the noisy small-sample cells nearby.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New: small-sample subgroups (e.g. under ~30 records) should not be used to justify targeted action on their own — now visually flagged rather than silently included.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feature list handed to Data Science is now confirmed to generalise, not just theoretically justified.</w:t>
      </w:r>
    </w:p>
    <w:p>
      <w:pPr>
        <w:pStyle w:val="Heading1"/>
        <w:spacing w:after="150" w:before="300"/>
      </w:pPr>
      <w:r>
        <w:t xml:space="preserve">7.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Sunday-appointment discrepancy from Week 5/6 remains unresolved.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multivariate model's modest explanatory power (pseudo R² ≈ 0.081, from Week 6) is unchanged — this week's tests addressed validity and generalisation, not model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Small-sample cells will need the same reliability check applied to any future segment-level analysis.</w:t>
      </w:r>
    </w:p>
    <w:p>
      <w:pPr>
        <w:pStyle w:val="Heading1"/>
        <w:spacing w:after="150" w:before="300"/>
      </w:pPr>
      <w:r>
        <w:t xml:space="preserve">8. Testing, Refinement &amp; Validation Record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000"/>
        <w:gridCol w:w="26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Component Tested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Test/Scenario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5 cleaning step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vs cleaned outcome comparison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KPI cards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filter scenarios incl. small-n edge case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(all 3)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chart data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Calc-sheet series vs reported figures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Lead-time finding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demographic subgroups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in 7/9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Reframed as “broadly consistent,” not universal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Prior-no-show finding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appointment-type subgroups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in 4/4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Risk-matrix heatmap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Sample-size reliability check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 (before refinement)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n-labels and low-n flags; retested and confirmed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 ranking (→ Data Science)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70/30 train/test generalisation check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validation status upgraded</w:t>
            </w:r>
          </w:p>
        </w:tc>
      </w:tr>
    </w:tbl>
    <w:p>
      <w:pPr>
        <w:pStyle w:val="Heading1"/>
        <w:spacing w:after="150" w:before="300"/>
      </w:pPr>
      <w:r>
        <w:t xml:space="preserve">9. Assumptions, Limitations, Risks &amp; Dependencies (Updated)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2800"/>
      </w:tblGrid>
      <w:tr>
        <w:trPr>
          <w:tblHeader/>
        </w:trPr>
        <w:tc>
          <w:tcPr>
            <w:tcW w:type="dxa" w:w="33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9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Week 6 status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sz w:val="18"/>
                <w:szCs w:val="18"/>
              </w:rPr>
              <w:t xml:space="preserve">Week 7 update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Sunday-appointment discrepancy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Unresolved, excluded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unresolved — not touched by this week's tests</w:t>
            </w:r>
          </w:p>
        </w:tc>
      </w:tr>
      <w:tr>
        <w:tc>
          <w:tcPr>
            <w:tcW w:type="dxa" w:w="33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Small-sample risk-matrix cells</w:t>
            </w:r>
          </w:p>
        </w:tc>
        <w:tc>
          <w:tcPr>
            <w:tcW w:type="dxa" w:w="29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Flagged as noise (text only)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— now visually flagged in the dashboard itself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Lead-time finding assumed universal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Implicit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Revised — confirmed broadly consistent, not universal</w:t>
            </w:r>
          </w:p>
        </w:tc>
      </w:tr>
      <w:tr>
        <w:tc>
          <w:tcPr>
            <w:tcW w:type="dxa" w:w="33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 ranking assumed to generalise</w:t>
            </w:r>
          </w:p>
        </w:tc>
        <w:tc>
          <w:tcPr>
            <w:tcW w:type="dxa" w:w="29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Implicit hand-off to Data Science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— explicitly tested on a held-out split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formula correctness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Assumed correct since Week 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— independently re-verified this week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bdd763ab04c240021f72875052ef8cc3e6ae7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2026-09-14T09:18:09.565Z</dcterms:created>
  <dcterms:modified xsi:type="dcterms:W3CDTF">2026-09-14T09:18:09.573Z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