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Jakob Roberts </w:t>
        <w:tab/>
        <w:t xml:space="preserve">- v00484900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Scott Andreen </w:t>
        <w:tab/>
        <w:t xml:space="preserve">- v00816349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Bogdan Fanea </w:t>
        <w:tab/>
        <w:t xml:space="preserve">- v00833586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Erik Bergen </w:t>
        <w:tab/>
        <w:t xml:space="preserve">-  v00815963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Lance Hughes </w:t>
        <w:tab/>
        <w:t xml:space="preserve">- v00823960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B10 - Group 7 - ENGR 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frequency of unretained deropements of surface lifts in BC is unacceptably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Improve current surface lifts to increase the safety in regards to deropements involving snowboarders by changing the lift interface.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Design an improvement to the current deropement interface system.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Objectives for the deropement failsafe system: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3720"/>
        <w:gridCol w:w="1095"/>
        <w:tblGridChange w:id="0">
          <w:tblGrid>
            <w:gridCol w:w="4545"/>
            <w:gridCol w:w="3720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Basis For 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implementation shouldn’t drastically slow down current operating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speed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m/s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an inexpensive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to manufacture and implement new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dollars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 a low implementation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it takes to put system in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simple to use for the general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people that comprehend signage within 2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add more than 20% of the current weight to the movement system.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new designs must be compatible with older systems and technology.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interface system must be switched between skier and snowboarder, and vice versa within half of the time the T-bar takes to travel around the bull wheel.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mechanism to switch the interface system must not be affected by ice and freezing temperatures.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mechanism must be resistant against all elements that would cause corrosion and failure of the mechanical components.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