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CSA Z98-14 Standards Notes: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4.4.2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 the purposes of design, a passenger shall be considered to have a mass of 77kg.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4.6.2.1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Components and their connections shall be designed to resist the effects of fatigue. Design </w:t>
        <w:tab/>
        <w:t xml:space="preserve">calculations shall be based on generally accepted procedures.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4.6.2.2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Critical components and their connections shall be designed, detailed, and fabricated to </w:t>
        <w:tab/>
        <w:t xml:space="preserve">minimize stress concentrations.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4.7.3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Damage from entrapped water shall be avoided by suitable design. A positive means of drainage </w:t>
        <w:tab/>
        <w:t xml:space="preserve">shall be provided where necessary.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4.32.1.4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All instruction signs shall be white on a blue background, except when a green background </w:t>
        <w:tab/>
        <w:t xml:space="preserve">pictogram signage program has already been established and is to be consistently continued. </w:t>
        <w:tab/>
        <w:t xml:space="preserve">Pictograms shall be enclosed in a white circle at least 400mm in diameter.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7.2.1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The tow path shall have a level or upward slope. The maximum slope shall be 60% (31deg) for </w:t>
        <w:tab/>
        <w:t xml:space="preserve">single passengers and 50%(27deg) for two passengers.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7.2.3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The minimum tow path width shall be 1.8m.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7.3.2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 multiple passenger carriers, the carrier interval shall be not less than 6.0s.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7.10.3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Except where carriers are designed to unload in the station, the distance between teh unloading </w:t>
        <w:tab/>
        <w:t xml:space="preserve">area and upper station guides shal allow the carriers to fully retract and shall permit oscillation </w:t>
        <w:tab/>
        <w:t xml:space="preserve">to diminish.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